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EC" w:rsidRPr="008A7A11" w:rsidRDefault="00C769EC" w:rsidP="008A7A11">
      <w:pPr>
        <w:pStyle w:val="afb"/>
        <w:ind w:leftChars="0" w:left="709"/>
        <w:jc w:val="center"/>
        <w:rPr>
          <w:rFonts w:hAnsi="標楷體"/>
          <w:b/>
          <w:sz w:val="36"/>
          <w:szCs w:val="36"/>
        </w:rPr>
      </w:pPr>
      <w:r w:rsidRPr="008A7A11">
        <w:rPr>
          <w:rFonts w:hAnsi="標楷體" w:hint="eastAsia"/>
          <w:b/>
          <w:sz w:val="36"/>
          <w:szCs w:val="36"/>
        </w:rPr>
        <w:t>公允價值衡量之揭露指引</w:t>
      </w:r>
    </w:p>
    <w:p w:rsidR="00D54EB6" w:rsidRDefault="00C769EC" w:rsidP="008A7A11">
      <w:pPr>
        <w:pStyle w:val="afb"/>
        <w:numPr>
          <w:ilvl w:val="0"/>
          <w:numId w:val="26"/>
        </w:numPr>
        <w:spacing w:line="500" w:lineRule="exact"/>
        <w:ind w:leftChars="0" w:left="709" w:hanging="709"/>
        <w:rPr>
          <w:rFonts w:hAnsi="標楷體"/>
          <w:sz w:val="32"/>
          <w:szCs w:val="32"/>
        </w:rPr>
      </w:pPr>
      <w:r w:rsidRPr="00E53E66">
        <w:rPr>
          <w:rFonts w:hAnsi="標楷體" w:hint="eastAsia"/>
          <w:b/>
          <w:sz w:val="32"/>
          <w:szCs w:val="32"/>
        </w:rPr>
        <w:t>前言：</w:t>
      </w:r>
      <w:r w:rsidRPr="00C769EC">
        <w:rPr>
          <w:rFonts w:hAnsi="標楷體" w:hint="eastAsia"/>
          <w:sz w:val="32"/>
          <w:szCs w:val="32"/>
        </w:rPr>
        <w:t>提供IFRS 13公允價值衡量之揭露範本</w:t>
      </w:r>
      <w:r w:rsidR="00D54EB6">
        <w:rPr>
          <w:rFonts w:hAnsi="標楷體" w:hint="eastAsia"/>
          <w:sz w:val="32"/>
          <w:szCs w:val="32"/>
        </w:rPr>
        <w:t>。</w:t>
      </w:r>
    </w:p>
    <w:p w:rsidR="00D54EB6" w:rsidRPr="00B60BBF" w:rsidRDefault="00D54EB6" w:rsidP="008A7A11">
      <w:pPr>
        <w:pStyle w:val="afb"/>
        <w:spacing w:line="500" w:lineRule="exact"/>
        <w:ind w:leftChars="0" w:left="709"/>
        <w:rPr>
          <w:rFonts w:hAnsi="標楷體"/>
          <w:sz w:val="32"/>
          <w:szCs w:val="32"/>
        </w:rPr>
      </w:pPr>
      <w:r>
        <w:rPr>
          <w:rFonts w:hAnsi="標楷體" w:hint="eastAsia"/>
          <w:sz w:val="32"/>
          <w:szCs w:val="32"/>
        </w:rPr>
        <w:t xml:space="preserve">    </w:t>
      </w:r>
      <w:r w:rsidR="00E53E66">
        <w:rPr>
          <w:rFonts w:hAnsi="標楷體" w:hint="eastAsia"/>
          <w:sz w:val="32"/>
          <w:szCs w:val="32"/>
        </w:rPr>
        <w:t>本揭露指引僅列</w:t>
      </w:r>
      <w:r w:rsidRPr="00B60BBF">
        <w:rPr>
          <w:rFonts w:hAnsi="標楷體" w:hint="eastAsia"/>
          <w:sz w:val="32"/>
          <w:szCs w:val="32"/>
        </w:rPr>
        <w:t>舉部分個案情況，可能未涵</w:t>
      </w:r>
      <w:proofErr w:type="gramStart"/>
      <w:r w:rsidRPr="00B60BBF">
        <w:rPr>
          <w:rFonts w:hAnsi="標楷體" w:hint="eastAsia"/>
          <w:sz w:val="32"/>
          <w:szCs w:val="32"/>
        </w:rPr>
        <w:t>括</w:t>
      </w:r>
      <w:proofErr w:type="gramEnd"/>
      <w:r w:rsidRPr="00B60BBF">
        <w:rPr>
          <w:rFonts w:hAnsi="標楷體" w:hint="eastAsia"/>
          <w:sz w:val="32"/>
          <w:szCs w:val="32"/>
        </w:rPr>
        <w:t>IFRS 13所要求之所有揭露項目，企業仍應根據其個案情況依IFRS 13做完整揭露。</w:t>
      </w:r>
    </w:p>
    <w:p w:rsidR="00C769EC" w:rsidRPr="00B60BBF" w:rsidRDefault="00D54EB6" w:rsidP="008A7A11">
      <w:pPr>
        <w:pStyle w:val="afb"/>
        <w:spacing w:line="500" w:lineRule="exact"/>
        <w:ind w:leftChars="0" w:left="709"/>
        <w:rPr>
          <w:rFonts w:hAnsi="標楷體"/>
          <w:sz w:val="32"/>
          <w:szCs w:val="32"/>
        </w:rPr>
      </w:pPr>
      <w:r w:rsidRPr="00B60BBF">
        <w:rPr>
          <w:rFonts w:hAnsi="標楷體" w:hint="eastAsia"/>
          <w:sz w:val="32"/>
          <w:szCs w:val="32"/>
        </w:rPr>
        <w:t xml:space="preserve">    由於IFRS 13規定揭露範圍包含金融項目與非金融項目，企業於財報揭露時，可選擇於各項目的附註中分別揭露，或參考本指引</w:t>
      </w:r>
      <w:r w:rsidR="00E455F3" w:rsidRPr="00B60BBF">
        <w:rPr>
          <w:rFonts w:hAnsi="標楷體" w:hint="eastAsia"/>
          <w:sz w:val="32"/>
          <w:szCs w:val="32"/>
        </w:rPr>
        <w:t>綜</w:t>
      </w:r>
      <w:r w:rsidRPr="00B60BBF">
        <w:rPr>
          <w:rFonts w:hAnsi="標楷體" w:hint="eastAsia"/>
          <w:sz w:val="32"/>
          <w:szCs w:val="32"/>
        </w:rPr>
        <w:t>合揭露。</w:t>
      </w:r>
    </w:p>
    <w:p w:rsidR="00BC4008" w:rsidRPr="00B60BBF" w:rsidRDefault="00D54EB6" w:rsidP="008A7A11">
      <w:pPr>
        <w:pStyle w:val="afb"/>
        <w:spacing w:line="500" w:lineRule="exact"/>
        <w:ind w:leftChars="0" w:left="709"/>
        <w:rPr>
          <w:rFonts w:hAnsi="標楷體"/>
          <w:sz w:val="32"/>
          <w:szCs w:val="32"/>
        </w:rPr>
      </w:pPr>
      <w:r w:rsidRPr="00B60BBF">
        <w:rPr>
          <w:rFonts w:hAnsi="標楷體" w:hint="eastAsia"/>
          <w:sz w:val="32"/>
          <w:szCs w:val="32"/>
        </w:rPr>
        <w:t xml:space="preserve">    依據IFRS 13規定無須揭露適用前之期間的比較資訊</w:t>
      </w:r>
      <w:r w:rsidR="00E455F3" w:rsidRPr="00B60BBF">
        <w:rPr>
          <w:rFonts w:hAnsi="標楷體" w:hint="eastAsia"/>
          <w:sz w:val="32"/>
          <w:szCs w:val="32"/>
        </w:rPr>
        <w:t>，</w:t>
      </w:r>
      <w:r w:rsidR="00FB3E46" w:rsidRPr="00B60BBF">
        <w:rPr>
          <w:rFonts w:hAnsi="標楷體" w:hint="eastAsia"/>
          <w:sz w:val="32"/>
          <w:szCs w:val="32"/>
        </w:rPr>
        <w:t>惟</w:t>
      </w:r>
      <w:r w:rsidR="00E455F3" w:rsidRPr="00B60BBF">
        <w:rPr>
          <w:rFonts w:hAnsi="標楷體" w:hint="eastAsia"/>
          <w:sz w:val="32"/>
          <w:szCs w:val="32"/>
        </w:rPr>
        <w:t>2010年版之</w:t>
      </w:r>
      <w:r w:rsidR="00FB3E46" w:rsidRPr="00B60BBF">
        <w:rPr>
          <w:rFonts w:hAnsi="標楷體" w:hint="eastAsia"/>
          <w:sz w:val="32"/>
          <w:szCs w:val="32"/>
        </w:rPr>
        <w:t>IFRS 7業</w:t>
      </w:r>
      <w:r w:rsidR="00E455F3" w:rsidRPr="00B60BBF">
        <w:rPr>
          <w:rFonts w:hAnsi="標楷體" w:hint="eastAsia"/>
          <w:sz w:val="32"/>
          <w:szCs w:val="32"/>
        </w:rPr>
        <w:t>有部分相關</w:t>
      </w:r>
      <w:r w:rsidR="00FB3E46" w:rsidRPr="00B60BBF">
        <w:rPr>
          <w:rFonts w:hAnsi="標楷體" w:hint="eastAsia"/>
          <w:sz w:val="32"/>
          <w:szCs w:val="32"/>
        </w:rPr>
        <w:t>規範</w:t>
      </w:r>
      <w:r w:rsidR="00E455F3" w:rsidRPr="00B60BBF">
        <w:rPr>
          <w:rFonts w:hAnsi="標楷體" w:hint="eastAsia"/>
          <w:sz w:val="32"/>
          <w:szCs w:val="32"/>
        </w:rPr>
        <w:t>。企業於參考本指引綜合揭露時得於前期資訊註記「不適用」，或選擇將兩期資訊分列表達。</w:t>
      </w:r>
    </w:p>
    <w:p w:rsidR="00E455F3" w:rsidRPr="00BC4008" w:rsidRDefault="00E455F3" w:rsidP="008A7A11">
      <w:pPr>
        <w:pStyle w:val="afb"/>
        <w:spacing w:line="500" w:lineRule="exact"/>
        <w:ind w:leftChars="0" w:left="709"/>
        <w:rPr>
          <w:rFonts w:hAnsi="標楷體"/>
          <w:sz w:val="32"/>
          <w:szCs w:val="32"/>
        </w:rPr>
      </w:pPr>
      <w:r w:rsidRPr="00B60BBF">
        <w:rPr>
          <w:rFonts w:hAnsi="標楷體" w:hint="eastAsia"/>
          <w:sz w:val="32"/>
          <w:szCs w:val="32"/>
        </w:rPr>
        <w:t xml:space="preserve">    本指引之投資性不動產係</w:t>
      </w:r>
      <w:proofErr w:type="gramStart"/>
      <w:r w:rsidRPr="00B60BBF">
        <w:rPr>
          <w:rFonts w:hAnsi="標楷體" w:hint="eastAsia"/>
          <w:sz w:val="32"/>
          <w:szCs w:val="32"/>
        </w:rPr>
        <w:t>採</w:t>
      </w:r>
      <w:proofErr w:type="gramEnd"/>
      <w:r w:rsidRPr="00B60BBF">
        <w:rPr>
          <w:rFonts w:hAnsi="標楷體" w:hint="eastAsia"/>
          <w:sz w:val="32"/>
          <w:szCs w:val="32"/>
        </w:rPr>
        <w:t>公允價值衡量，若企業選擇以成本衡量仍須揭露公允價值等級與評價技術及輸入值資訊。</w:t>
      </w:r>
    </w:p>
    <w:p w:rsidR="00C769EC" w:rsidRPr="00E53E66" w:rsidRDefault="00C769EC" w:rsidP="008A7A11">
      <w:pPr>
        <w:pStyle w:val="afb"/>
        <w:numPr>
          <w:ilvl w:val="0"/>
          <w:numId w:val="26"/>
        </w:numPr>
        <w:spacing w:line="500" w:lineRule="exact"/>
        <w:ind w:leftChars="0" w:left="709" w:hanging="709"/>
        <w:rPr>
          <w:rFonts w:hAnsi="標楷體"/>
          <w:b/>
          <w:sz w:val="32"/>
          <w:szCs w:val="32"/>
        </w:rPr>
      </w:pPr>
      <w:r w:rsidRPr="00E53E66">
        <w:rPr>
          <w:rFonts w:hAnsi="標楷體" w:hint="eastAsia"/>
          <w:b/>
          <w:sz w:val="32"/>
          <w:szCs w:val="32"/>
        </w:rPr>
        <w:t>指引內容：</w:t>
      </w:r>
    </w:p>
    <w:tbl>
      <w:tblPr>
        <w:tblW w:w="10888" w:type="dxa"/>
        <w:tblInd w:w="-512" w:type="dxa"/>
        <w:tblLayout w:type="fixed"/>
        <w:tblCellMar>
          <w:left w:w="28" w:type="dxa"/>
          <w:right w:w="28" w:type="dxa"/>
        </w:tblCellMar>
        <w:tblLook w:val="01E0"/>
      </w:tblPr>
      <w:tblGrid>
        <w:gridCol w:w="8"/>
        <w:gridCol w:w="1246"/>
        <w:gridCol w:w="6"/>
        <w:gridCol w:w="1128"/>
        <w:gridCol w:w="704"/>
        <w:gridCol w:w="1134"/>
        <w:gridCol w:w="1134"/>
        <w:gridCol w:w="1134"/>
        <w:gridCol w:w="709"/>
        <w:gridCol w:w="1134"/>
        <w:gridCol w:w="1134"/>
        <w:gridCol w:w="1417"/>
      </w:tblGrid>
      <w:tr w:rsidR="00B5393B" w:rsidRPr="00C769EC" w:rsidTr="00A37C7D">
        <w:tc>
          <w:tcPr>
            <w:tcW w:w="1260" w:type="dxa"/>
            <w:gridSpan w:val="3"/>
          </w:tcPr>
          <w:p w:rsidR="00B5393B" w:rsidRPr="00C769EC" w:rsidRDefault="00B5393B" w:rsidP="008A7A11">
            <w:pPr>
              <w:spacing w:line="500" w:lineRule="exact"/>
              <w:rPr>
                <w:rFonts w:hAnsi="標楷體" w:cs="Arial"/>
                <w:sz w:val="16"/>
                <w:szCs w:val="16"/>
              </w:rPr>
            </w:pPr>
          </w:p>
        </w:tc>
        <w:tc>
          <w:tcPr>
            <w:tcW w:w="9628" w:type="dxa"/>
            <w:gridSpan w:val="9"/>
          </w:tcPr>
          <w:p w:rsidR="00B5393B" w:rsidRPr="00C769EC" w:rsidRDefault="00B5393B" w:rsidP="008A7A11">
            <w:pPr>
              <w:numPr>
                <w:ilvl w:val="0"/>
                <w:numId w:val="17"/>
              </w:numPr>
              <w:tabs>
                <w:tab w:val="clear" w:pos="425"/>
              </w:tabs>
              <w:spacing w:before="120" w:after="120" w:line="500" w:lineRule="exact"/>
              <w:ind w:left="528" w:hanging="528"/>
              <w:outlineLvl w:val="1"/>
              <w:rPr>
                <w:rFonts w:hAnsi="標楷體"/>
                <w:sz w:val="32"/>
                <w:szCs w:val="32"/>
              </w:rPr>
            </w:pPr>
            <w:bookmarkStart w:id="0" w:name="_Ref307228539"/>
            <w:bookmarkStart w:id="1" w:name="_Ref307469719"/>
            <w:bookmarkStart w:id="2" w:name="_Toc316373003"/>
            <w:r w:rsidRPr="00C769EC">
              <w:rPr>
                <w:rFonts w:hAnsi="標楷體" w:cs="Arial"/>
                <w:b/>
                <w:sz w:val="32"/>
                <w:szCs w:val="32"/>
              </w:rPr>
              <w:t>公允價值及等級資訊</w:t>
            </w:r>
            <w:bookmarkEnd w:id="0"/>
            <w:bookmarkEnd w:id="1"/>
            <w:bookmarkEnd w:id="2"/>
          </w:p>
        </w:tc>
      </w:tr>
      <w:tr w:rsidR="00B5393B" w:rsidRPr="00C769EC" w:rsidTr="00A37C7D">
        <w:tc>
          <w:tcPr>
            <w:tcW w:w="1260" w:type="dxa"/>
            <w:gridSpan w:val="3"/>
          </w:tcPr>
          <w:p w:rsidR="00B5393B" w:rsidRPr="00C769EC" w:rsidRDefault="00B5393B" w:rsidP="008A7A11">
            <w:pPr>
              <w:spacing w:line="500" w:lineRule="exact"/>
              <w:rPr>
                <w:rFonts w:hAnsi="標楷體" w:cs="Arial"/>
                <w:sz w:val="16"/>
                <w:szCs w:val="16"/>
              </w:rPr>
            </w:pPr>
          </w:p>
        </w:tc>
        <w:tc>
          <w:tcPr>
            <w:tcW w:w="9628" w:type="dxa"/>
            <w:gridSpan w:val="9"/>
          </w:tcPr>
          <w:p w:rsidR="00B5393B" w:rsidRPr="00C769EC" w:rsidRDefault="00B5393B" w:rsidP="008A7A11">
            <w:pPr>
              <w:numPr>
                <w:ilvl w:val="1"/>
                <w:numId w:val="17"/>
              </w:numPr>
              <w:tabs>
                <w:tab w:val="clear" w:pos="992"/>
              </w:tabs>
              <w:spacing w:before="120" w:after="120" w:line="500" w:lineRule="exact"/>
              <w:ind w:left="1095"/>
              <w:outlineLvl w:val="2"/>
              <w:rPr>
                <w:rFonts w:hAnsi="標楷體" w:cs="Arial"/>
                <w:sz w:val="32"/>
                <w:szCs w:val="32"/>
              </w:rPr>
            </w:pPr>
            <w:r w:rsidRPr="00C769EC">
              <w:rPr>
                <w:rFonts w:hAnsi="標楷體" w:cs="Arial"/>
                <w:sz w:val="32"/>
                <w:szCs w:val="32"/>
              </w:rPr>
              <w:t>公允價值資訊</w:t>
            </w:r>
          </w:p>
        </w:tc>
      </w:tr>
      <w:tr w:rsidR="00B5393B" w:rsidRPr="00C769EC" w:rsidTr="00A37C7D">
        <w:tc>
          <w:tcPr>
            <w:tcW w:w="1260" w:type="dxa"/>
            <w:gridSpan w:val="3"/>
          </w:tcPr>
          <w:p w:rsidR="00B5393B" w:rsidRPr="00C769EC" w:rsidRDefault="00B5393B" w:rsidP="008A7A11">
            <w:pPr>
              <w:snapToGrid w:val="0"/>
              <w:spacing w:line="500" w:lineRule="exact"/>
              <w:rPr>
                <w:rFonts w:hAnsi="標楷體" w:cs="Arial"/>
                <w:sz w:val="16"/>
                <w:szCs w:val="16"/>
              </w:rPr>
            </w:pPr>
            <w:r w:rsidRPr="00C769EC">
              <w:rPr>
                <w:rFonts w:hAnsi="標楷體" w:cs="Arial" w:hint="eastAsia"/>
                <w:sz w:val="16"/>
                <w:szCs w:val="16"/>
              </w:rPr>
              <w:t>IFRS13</w:t>
            </w:r>
            <w:r w:rsidR="007C1361" w:rsidRPr="00C769EC">
              <w:rPr>
                <w:rFonts w:hAnsi="標楷體" w:cs="Arial" w:hint="eastAsia"/>
                <w:sz w:val="16"/>
                <w:szCs w:val="16"/>
              </w:rPr>
              <w:t>.</w:t>
            </w:r>
            <w:r w:rsidRPr="00C769EC">
              <w:rPr>
                <w:rFonts w:hAnsi="標楷體" w:cs="Arial" w:hint="eastAsia"/>
                <w:sz w:val="16"/>
                <w:szCs w:val="16"/>
              </w:rPr>
              <w:t>9, IFRS13</w:t>
            </w:r>
            <w:r w:rsidR="007C1361" w:rsidRPr="00C769EC">
              <w:rPr>
                <w:rFonts w:hAnsi="標楷體" w:cs="Arial" w:hint="eastAsia"/>
                <w:sz w:val="16"/>
                <w:szCs w:val="16"/>
              </w:rPr>
              <w:t>.</w:t>
            </w:r>
            <w:r w:rsidRPr="00C769EC">
              <w:rPr>
                <w:rFonts w:hAnsi="標楷體" w:cs="Arial" w:hint="eastAsia"/>
                <w:sz w:val="16"/>
                <w:szCs w:val="16"/>
              </w:rPr>
              <w:t>58, IFRS7</w:t>
            </w:r>
            <w:r w:rsidR="007C1361" w:rsidRPr="00C769EC">
              <w:rPr>
                <w:rFonts w:hAnsi="標楷體" w:cs="Arial" w:hint="eastAsia"/>
                <w:sz w:val="16"/>
                <w:szCs w:val="16"/>
              </w:rPr>
              <w:t>.</w:t>
            </w:r>
            <w:r w:rsidRPr="00C769EC">
              <w:rPr>
                <w:rFonts w:hAnsi="標楷體" w:cs="Arial" w:hint="eastAsia"/>
                <w:sz w:val="16"/>
                <w:szCs w:val="16"/>
              </w:rPr>
              <w:t>29</w:t>
            </w:r>
            <w:r w:rsidRPr="00C769EC">
              <w:rPr>
                <w:rFonts w:hAnsi="標楷體" w:cs="Arial"/>
                <w:sz w:val="16"/>
                <w:szCs w:val="16"/>
              </w:rPr>
              <w:t>(a)</w:t>
            </w:r>
          </w:p>
          <w:p w:rsidR="00B5393B" w:rsidRPr="00C769EC" w:rsidRDefault="00B5393B" w:rsidP="008A7A11">
            <w:pPr>
              <w:snapToGrid w:val="0"/>
              <w:spacing w:line="500" w:lineRule="exact"/>
              <w:rPr>
                <w:rFonts w:hAnsi="標楷體" w:cs="Arial"/>
                <w:sz w:val="16"/>
                <w:szCs w:val="16"/>
              </w:rPr>
            </w:pPr>
          </w:p>
        </w:tc>
        <w:tc>
          <w:tcPr>
            <w:tcW w:w="9628" w:type="dxa"/>
            <w:gridSpan w:val="9"/>
          </w:tcPr>
          <w:p w:rsidR="00A764FC" w:rsidRPr="00B60BBF" w:rsidRDefault="00072156" w:rsidP="008A7A11">
            <w:pPr>
              <w:widowControl/>
              <w:autoSpaceDE w:val="0"/>
              <w:autoSpaceDN w:val="0"/>
              <w:adjustRightInd w:val="0"/>
              <w:spacing w:before="120" w:after="120" w:line="500" w:lineRule="exact"/>
              <w:ind w:leftChars="456" w:left="1094"/>
              <w:outlineLvl w:val="2"/>
              <w:rPr>
                <w:rFonts w:hAnsi="標楷體" w:cs="Arial"/>
                <w:i/>
                <w:color w:val="0070C0"/>
                <w:sz w:val="20"/>
              </w:rPr>
            </w:pPr>
            <w:r w:rsidRPr="00C769EC">
              <w:rPr>
                <w:rFonts w:hAnsi="標楷體" w:cs="Arial" w:hint="eastAsia"/>
                <w:sz w:val="32"/>
                <w:szCs w:val="32"/>
              </w:rPr>
              <w:t>本集團</w:t>
            </w:r>
            <w:r w:rsidR="00B5393B" w:rsidRPr="00C769EC">
              <w:rPr>
                <w:rFonts w:hAnsi="標楷體" w:cs="Arial" w:hint="eastAsia"/>
                <w:sz w:val="32"/>
                <w:szCs w:val="32"/>
              </w:rPr>
              <w:t>之非以公允價值衡量之金融工具，除下表所列示之項目外，其他如</w:t>
            </w:r>
            <w:r w:rsidR="00B5393B" w:rsidRPr="00C769EC">
              <w:rPr>
                <w:rFonts w:hAnsi="標楷體" w:cs="Arial"/>
                <w:sz w:val="32"/>
                <w:szCs w:val="32"/>
              </w:rPr>
              <w:t>現金及約當現金</w:t>
            </w:r>
            <w:r w:rsidR="00B5393B" w:rsidRPr="00C769EC">
              <w:rPr>
                <w:rFonts w:hAnsi="標楷體" w:cs="Arial" w:hint="eastAsia"/>
                <w:sz w:val="32"/>
                <w:szCs w:val="32"/>
              </w:rPr>
              <w:t>、</w:t>
            </w:r>
            <w:r w:rsidR="00B5393B" w:rsidRPr="00C769EC">
              <w:rPr>
                <w:rFonts w:hAnsi="標楷體" w:cs="Arial"/>
                <w:sz w:val="32"/>
                <w:szCs w:val="32"/>
              </w:rPr>
              <w:t>應收款項</w:t>
            </w:r>
            <w:r w:rsidR="00B5393B" w:rsidRPr="00C769EC">
              <w:rPr>
                <w:rFonts w:hAnsi="標楷體" w:cs="Arial" w:hint="eastAsia"/>
                <w:sz w:val="32"/>
                <w:szCs w:val="32"/>
              </w:rPr>
              <w:t>、</w:t>
            </w:r>
            <w:r w:rsidR="00B5393B" w:rsidRPr="00C769EC">
              <w:rPr>
                <w:rFonts w:hAnsi="標楷體" w:cs="Arial"/>
                <w:sz w:val="32"/>
                <w:szCs w:val="32"/>
              </w:rPr>
              <w:t>受限制資產</w:t>
            </w:r>
            <w:r w:rsidR="00B5393B" w:rsidRPr="00C769EC">
              <w:rPr>
                <w:rFonts w:hAnsi="標楷體" w:cs="Arial" w:hint="eastAsia"/>
                <w:sz w:val="32"/>
                <w:szCs w:val="32"/>
              </w:rPr>
              <w:t>、</w:t>
            </w:r>
            <w:r w:rsidR="00B5393B" w:rsidRPr="00C769EC">
              <w:rPr>
                <w:rFonts w:hAnsi="標楷體" w:cs="Arial"/>
                <w:sz w:val="32"/>
                <w:szCs w:val="32"/>
              </w:rPr>
              <w:t>應付款項</w:t>
            </w:r>
            <w:r w:rsidR="00B5393B" w:rsidRPr="00C769EC">
              <w:rPr>
                <w:rFonts w:hAnsi="標楷體" w:cs="Arial" w:hint="eastAsia"/>
                <w:sz w:val="32"/>
                <w:szCs w:val="32"/>
              </w:rPr>
              <w:t>及其他金融負債之</w:t>
            </w:r>
            <w:proofErr w:type="gramStart"/>
            <w:r w:rsidR="00B5393B" w:rsidRPr="00C769EC">
              <w:rPr>
                <w:rFonts w:hAnsi="標楷體" w:cs="Arial" w:hint="eastAsia"/>
                <w:sz w:val="32"/>
                <w:szCs w:val="32"/>
              </w:rPr>
              <w:t>帳面</w:t>
            </w:r>
            <w:proofErr w:type="gramEnd"/>
            <w:r w:rsidR="00B5393B" w:rsidRPr="00C769EC">
              <w:rPr>
                <w:rFonts w:hAnsi="標楷體" w:cs="Arial" w:hint="eastAsia"/>
                <w:sz w:val="32"/>
                <w:szCs w:val="32"/>
              </w:rPr>
              <w:t>金額係公允價值合理之近似值。</w:t>
            </w:r>
            <w:r w:rsidR="00B60BBF" w:rsidRPr="00B60BBF">
              <w:rPr>
                <w:rFonts w:hAnsi="標楷體" w:cs="Arial" w:hint="eastAsia"/>
                <w:i/>
                <w:color w:val="0070C0"/>
                <w:sz w:val="20"/>
              </w:rPr>
              <w:t>(若業已依據IFRS 7.29評估，</w:t>
            </w:r>
            <w:proofErr w:type="gramStart"/>
            <w:r w:rsidR="00B60BBF" w:rsidRPr="00B60BBF">
              <w:rPr>
                <w:rFonts w:hAnsi="標楷體" w:cs="Arial" w:hint="eastAsia"/>
                <w:i/>
                <w:color w:val="0070C0"/>
                <w:sz w:val="20"/>
              </w:rPr>
              <w:t>續後非</w:t>
            </w:r>
            <w:proofErr w:type="gramEnd"/>
            <w:r w:rsidR="00B60BBF" w:rsidRPr="00B60BBF">
              <w:rPr>
                <w:rFonts w:hAnsi="標楷體" w:cs="Arial" w:hint="eastAsia"/>
                <w:i/>
                <w:color w:val="0070C0"/>
                <w:sz w:val="20"/>
              </w:rPr>
              <w:t>按公允價值衡量之金融工具，當其</w:t>
            </w:r>
            <w:proofErr w:type="gramStart"/>
            <w:r w:rsidR="00B60BBF" w:rsidRPr="00B60BBF">
              <w:rPr>
                <w:rFonts w:hAnsi="標楷體" w:cs="Arial" w:hint="eastAsia"/>
                <w:i/>
                <w:color w:val="0070C0"/>
                <w:sz w:val="20"/>
              </w:rPr>
              <w:t>帳面</w:t>
            </w:r>
            <w:proofErr w:type="gramEnd"/>
            <w:r w:rsidR="00B60BBF" w:rsidRPr="00B60BBF">
              <w:rPr>
                <w:rFonts w:hAnsi="標楷體" w:cs="Arial" w:hint="eastAsia"/>
                <w:i/>
                <w:color w:val="0070C0"/>
                <w:sz w:val="20"/>
              </w:rPr>
              <w:t>金額為公允價值之合理近似值時，無須揭露其公允價值者，亦無須按IFRS 13.97規定揭露公允價值</w:t>
            </w:r>
            <w:proofErr w:type="gramStart"/>
            <w:r w:rsidR="00B60BBF" w:rsidRPr="00B60BBF">
              <w:rPr>
                <w:rFonts w:hAnsi="標楷體" w:cs="Arial" w:hint="eastAsia"/>
                <w:i/>
                <w:color w:val="0070C0"/>
                <w:sz w:val="20"/>
              </w:rPr>
              <w:t>三</w:t>
            </w:r>
            <w:proofErr w:type="gramEnd"/>
            <w:r w:rsidR="00B60BBF" w:rsidRPr="00B60BBF">
              <w:rPr>
                <w:rFonts w:hAnsi="標楷體" w:cs="Arial" w:hint="eastAsia"/>
                <w:i/>
                <w:color w:val="0070C0"/>
                <w:sz w:val="20"/>
              </w:rPr>
              <w:t>等級等資訊)</w:t>
            </w:r>
          </w:p>
          <w:p w:rsidR="00B5393B" w:rsidRPr="00C769EC" w:rsidRDefault="00072156" w:rsidP="008A7A11">
            <w:pPr>
              <w:widowControl/>
              <w:autoSpaceDE w:val="0"/>
              <w:autoSpaceDN w:val="0"/>
              <w:adjustRightInd w:val="0"/>
              <w:spacing w:before="120" w:after="120" w:line="500" w:lineRule="exact"/>
              <w:ind w:leftChars="456" w:left="1094"/>
              <w:outlineLvl w:val="2"/>
              <w:rPr>
                <w:rFonts w:hAnsi="標楷體" w:cs="Arial"/>
                <w:sz w:val="32"/>
                <w:szCs w:val="32"/>
              </w:rPr>
            </w:pPr>
            <w:r w:rsidRPr="00C769EC">
              <w:rPr>
                <w:rFonts w:hAnsi="標楷體" w:cs="Arial" w:hint="eastAsia"/>
                <w:sz w:val="32"/>
                <w:szCs w:val="32"/>
              </w:rPr>
              <w:t>本集團</w:t>
            </w:r>
            <w:r w:rsidR="00B5393B" w:rsidRPr="00C769EC">
              <w:rPr>
                <w:rFonts w:hAnsi="標楷體" w:cs="Arial" w:hint="eastAsia"/>
                <w:sz w:val="32"/>
                <w:szCs w:val="32"/>
              </w:rPr>
              <w:t>之以公允價值衡量之金融工具及非金融工具之公允價值資訊，請詳附註</w:t>
            </w:r>
            <w:r w:rsidR="00DA358C" w:rsidRPr="00C769EC">
              <w:rPr>
                <w:rFonts w:hAnsi="標楷體" w:cs="Arial" w:hint="eastAsia"/>
                <w:sz w:val="32"/>
                <w:szCs w:val="32"/>
              </w:rPr>
              <w:t>一、</w:t>
            </w:r>
            <w:r w:rsidR="00B5393B" w:rsidRPr="00C769EC">
              <w:rPr>
                <w:rFonts w:hAnsi="標楷體" w:cs="Arial" w:hint="eastAsia"/>
                <w:sz w:val="32"/>
                <w:szCs w:val="32"/>
              </w:rPr>
              <w:t>(</w:t>
            </w:r>
            <w:r w:rsidR="00344DAF" w:rsidRPr="00B60BBF">
              <w:rPr>
                <w:rFonts w:hAnsi="標楷體" w:cs="Arial" w:hint="eastAsia"/>
                <w:sz w:val="32"/>
                <w:szCs w:val="32"/>
              </w:rPr>
              <w:t>五</w:t>
            </w:r>
            <w:r w:rsidR="00B5393B" w:rsidRPr="00C769EC">
              <w:rPr>
                <w:rFonts w:hAnsi="標楷體" w:cs="Arial" w:hint="eastAsia"/>
                <w:sz w:val="32"/>
                <w:szCs w:val="32"/>
              </w:rPr>
              <w:t>)說明。</w:t>
            </w:r>
          </w:p>
        </w:tc>
      </w:tr>
      <w:tr w:rsidR="00B5393B" w:rsidRPr="00C769EC" w:rsidTr="00A37C7D">
        <w:tc>
          <w:tcPr>
            <w:tcW w:w="1260" w:type="dxa"/>
            <w:gridSpan w:val="3"/>
          </w:tcPr>
          <w:p w:rsidR="00B5393B" w:rsidRPr="00C769EC" w:rsidRDefault="00B5393B" w:rsidP="00D54EB6">
            <w:pPr>
              <w:rPr>
                <w:rFonts w:hAnsi="標楷體" w:cs="Arial"/>
                <w:sz w:val="16"/>
                <w:szCs w:val="16"/>
              </w:rPr>
            </w:pPr>
          </w:p>
        </w:tc>
        <w:tc>
          <w:tcPr>
            <w:tcW w:w="9628" w:type="dxa"/>
            <w:gridSpan w:val="9"/>
          </w:tcPr>
          <w:tbl>
            <w:tblPr>
              <w:tblW w:w="6379" w:type="dxa"/>
              <w:tblInd w:w="109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3119"/>
              <w:gridCol w:w="1701"/>
              <w:gridCol w:w="1559"/>
            </w:tblGrid>
            <w:tr w:rsidR="00B5393B" w:rsidRPr="00C769EC" w:rsidTr="00D54EB6">
              <w:tc>
                <w:tcPr>
                  <w:tcW w:w="3119" w:type="dxa"/>
                  <w:tcBorders>
                    <w:top w:val="single" w:sz="4" w:space="0" w:color="auto"/>
                    <w:bottom w:val="single" w:sz="4" w:space="0" w:color="auto"/>
                  </w:tcBorders>
                  <w:shd w:val="clear" w:color="auto" w:fill="auto"/>
                  <w:noWrap/>
                  <w:vAlign w:val="center"/>
                </w:tcPr>
                <w:p w:rsidR="00B5393B" w:rsidRPr="00C769EC" w:rsidRDefault="00B5393B" w:rsidP="00D54EB6">
                  <w:pPr>
                    <w:widowControl/>
                    <w:snapToGrid w:val="0"/>
                    <w:spacing w:line="280" w:lineRule="exact"/>
                    <w:jc w:val="both"/>
                    <w:rPr>
                      <w:rFonts w:hAnsi="標楷體"/>
                      <w:bCs/>
                      <w:kern w:val="0"/>
                      <w:sz w:val="20"/>
                    </w:rPr>
                  </w:pPr>
                  <w:r w:rsidRPr="00C769EC">
                    <w:rPr>
                      <w:rFonts w:hAnsi="標楷體"/>
                      <w:bCs/>
                      <w:kern w:val="0"/>
                      <w:sz w:val="20"/>
                    </w:rPr>
                    <w:t>項目</w:t>
                  </w:r>
                </w:p>
              </w:tc>
              <w:tc>
                <w:tcPr>
                  <w:tcW w:w="1701" w:type="dxa"/>
                  <w:tcBorders>
                    <w:top w:val="single" w:sz="4" w:space="0" w:color="auto"/>
                    <w:bottom w:val="single" w:sz="4" w:space="0" w:color="auto"/>
                  </w:tcBorders>
                  <w:shd w:val="clear" w:color="auto" w:fill="auto"/>
                  <w:noWrap/>
                  <w:vAlign w:val="center"/>
                </w:tcPr>
                <w:p w:rsidR="00B5393B" w:rsidRPr="00C769EC" w:rsidRDefault="00B5393B" w:rsidP="00D54EB6">
                  <w:pPr>
                    <w:widowControl/>
                    <w:snapToGrid w:val="0"/>
                    <w:spacing w:line="280" w:lineRule="exact"/>
                    <w:jc w:val="center"/>
                    <w:rPr>
                      <w:rFonts w:hAnsi="標楷體"/>
                      <w:bCs/>
                      <w:kern w:val="0"/>
                      <w:sz w:val="20"/>
                    </w:rPr>
                  </w:pPr>
                  <w:proofErr w:type="gramStart"/>
                  <w:r w:rsidRPr="00C769EC">
                    <w:rPr>
                      <w:rFonts w:hAnsi="標楷體"/>
                      <w:bCs/>
                      <w:kern w:val="0"/>
                      <w:sz w:val="20"/>
                    </w:rPr>
                    <w:t>帳面</w:t>
                  </w:r>
                  <w:proofErr w:type="gramEnd"/>
                  <w:r w:rsidRPr="00C769EC">
                    <w:rPr>
                      <w:rFonts w:hAnsi="標楷體" w:cs="Arial" w:hint="eastAsia"/>
                      <w:kern w:val="0"/>
                      <w:sz w:val="20"/>
                    </w:rPr>
                    <w:t>金額</w:t>
                  </w:r>
                </w:p>
              </w:tc>
              <w:tc>
                <w:tcPr>
                  <w:tcW w:w="1559" w:type="dxa"/>
                  <w:tcBorders>
                    <w:top w:val="single" w:sz="4" w:space="0" w:color="auto"/>
                    <w:bottom w:val="single" w:sz="4" w:space="0" w:color="auto"/>
                  </w:tcBorders>
                  <w:shd w:val="clear" w:color="auto" w:fill="auto"/>
                  <w:noWrap/>
                  <w:vAlign w:val="center"/>
                </w:tcPr>
                <w:p w:rsidR="00B5393B" w:rsidRPr="00C769EC" w:rsidRDefault="00B5393B" w:rsidP="00D54EB6">
                  <w:pPr>
                    <w:widowControl/>
                    <w:snapToGrid w:val="0"/>
                    <w:spacing w:line="280" w:lineRule="exact"/>
                    <w:jc w:val="center"/>
                    <w:rPr>
                      <w:rFonts w:hAnsi="標楷體"/>
                      <w:bCs/>
                      <w:kern w:val="0"/>
                      <w:sz w:val="20"/>
                    </w:rPr>
                  </w:pPr>
                  <w:r w:rsidRPr="00C769EC">
                    <w:rPr>
                      <w:rFonts w:hAnsi="標楷體"/>
                      <w:bCs/>
                      <w:kern w:val="0"/>
                      <w:sz w:val="20"/>
                    </w:rPr>
                    <w:t>公允價值</w:t>
                  </w:r>
                </w:p>
              </w:tc>
            </w:tr>
            <w:tr w:rsidR="00B5393B" w:rsidRPr="00C769EC" w:rsidTr="00D54EB6">
              <w:tc>
                <w:tcPr>
                  <w:tcW w:w="3119" w:type="dxa"/>
                  <w:shd w:val="clear" w:color="auto" w:fill="auto"/>
                  <w:noWrap/>
                  <w:vAlign w:val="center"/>
                </w:tcPr>
                <w:p w:rsidR="00B5393B" w:rsidRPr="00C769EC" w:rsidRDefault="00B5393B" w:rsidP="00B5393B">
                  <w:pPr>
                    <w:widowControl/>
                    <w:snapToGrid w:val="0"/>
                    <w:jc w:val="both"/>
                    <w:rPr>
                      <w:rFonts w:hAnsi="標楷體"/>
                      <w:bCs/>
                      <w:kern w:val="0"/>
                      <w:sz w:val="20"/>
                      <w:u w:val="single"/>
                    </w:rPr>
                  </w:pPr>
                  <w:r w:rsidRPr="00C769EC">
                    <w:rPr>
                      <w:rFonts w:hAnsi="標楷體"/>
                      <w:bCs/>
                      <w:kern w:val="0"/>
                      <w:sz w:val="20"/>
                    </w:rPr>
                    <w:t>民國</w:t>
                  </w:r>
                  <w:r w:rsidRPr="00C769EC">
                    <w:rPr>
                      <w:rFonts w:hAnsi="標楷體" w:hint="eastAsia"/>
                      <w:bCs/>
                      <w:kern w:val="0"/>
                      <w:sz w:val="20"/>
                    </w:rPr>
                    <w:t>104</w:t>
                  </w:r>
                  <w:r w:rsidRPr="00C769EC">
                    <w:rPr>
                      <w:rFonts w:hAnsi="標楷體"/>
                      <w:bCs/>
                      <w:kern w:val="0"/>
                      <w:sz w:val="20"/>
                    </w:rPr>
                    <w:t>年12月31日</w:t>
                  </w:r>
                </w:p>
              </w:tc>
              <w:tc>
                <w:tcPr>
                  <w:tcW w:w="1701" w:type="dxa"/>
                  <w:shd w:val="clear" w:color="auto" w:fill="auto"/>
                  <w:noWrap/>
                  <w:vAlign w:val="center"/>
                </w:tcPr>
                <w:p w:rsidR="00B5393B" w:rsidRPr="00C769EC" w:rsidRDefault="00B5393B" w:rsidP="00D54EB6">
                  <w:pPr>
                    <w:widowControl/>
                    <w:snapToGrid w:val="0"/>
                    <w:ind w:right="147"/>
                    <w:jc w:val="both"/>
                    <w:rPr>
                      <w:rFonts w:hAnsi="標楷體"/>
                      <w:bCs/>
                      <w:kern w:val="0"/>
                      <w:sz w:val="20"/>
                    </w:rPr>
                  </w:pPr>
                </w:p>
              </w:tc>
              <w:tc>
                <w:tcPr>
                  <w:tcW w:w="1559" w:type="dxa"/>
                  <w:shd w:val="clear" w:color="auto" w:fill="auto"/>
                  <w:noWrap/>
                  <w:vAlign w:val="center"/>
                </w:tcPr>
                <w:p w:rsidR="00B5393B" w:rsidRPr="00C769EC" w:rsidRDefault="00B5393B" w:rsidP="00D54EB6">
                  <w:pPr>
                    <w:widowControl/>
                    <w:snapToGrid w:val="0"/>
                    <w:ind w:right="147"/>
                    <w:jc w:val="both"/>
                    <w:rPr>
                      <w:rFonts w:hAnsi="標楷體"/>
                      <w:bCs/>
                      <w:kern w:val="0"/>
                      <w:sz w:val="20"/>
                    </w:rPr>
                  </w:pPr>
                </w:p>
              </w:tc>
            </w:tr>
            <w:tr w:rsidR="00B5393B" w:rsidRPr="00C769EC" w:rsidTr="00D54EB6">
              <w:tc>
                <w:tcPr>
                  <w:tcW w:w="3119" w:type="dxa"/>
                  <w:shd w:val="clear" w:color="auto" w:fill="auto"/>
                  <w:noWrap/>
                  <w:vAlign w:val="center"/>
                </w:tcPr>
                <w:p w:rsidR="00B5393B" w:rsidRPr="00C769EC" w:rsidRDefault="00B5393B" w:rsidP="00D54EB6">
                  <w:pPr>
                    <w:widowControl/>
                    <w:snapToGrid w:val="0"/>
                    <w:jc w:val="both"/>
                    <w:rPr>
                      <w:rFonts w:hAnsi="標楷體"/>
                      <w:bCs/>
                      <w:kern w:val="0"/>
                      <w:sz w:val="20"/>
                      <w:u w:val="single"/>
                    </w:rPr>
                  </w:pPr>
                  <w:r w:rsidRPr="00C769EC">
                    <w:rPr>
                      <w:rFonts w:hAnsi="標楷體"/>
                      <w:bCs/>
                      <w:kern w:val="0"/>
                      <w:sz w:val="20"/>
                      <w:u w:val="single"/>
                    </w:rPr>
                    <w:lastRenderedPageBreak/>
                    <w:t>金融資產</w:t>
                  </w:r>
                </w:p>
              </w:tc>
              <w:tc>
                <w:tcPr>
                  <w:tcW w:w="1701" w:type="dxa"/>
                  <w:shd w:val="clear" w:color="auto" w:fill="auto"/>
                  <w:noWrap/>
                  <w:vAlign w:val="center"/>
                </w:tcPr>
                <w:p w:rsidR="00B5393B" w:rsidRPr="00C769EC" w:rsidRDefault="00B5393B" w:rsidP="00D54EB6">
                  <w:pPr>
                    <w:widowControl/>
                    <w:snapToGrid w:val="0"/>
                    <w:ind w:right="147"/>
                    <w:jc w:val="both"/>
                    <w:rPr>
                      <w:rFonts w:hAnsi="標楷體"/>
                      <w:bCs/>
                      <w:kern w:val="0"/>
                      <w:sz w:val="20"/>
                    </w:rPr>
                  </w:pPr>
                </w:p>
              </w:tc>
              <w:tc>
                <w:tcPr>
                  <w:tcW w:w="1559" w:type="dxa"/>
                  <w:shd w:val="clear" w:color="auto" w:fill="auto"/>
                  <w:noWrap/>
                  <w:vAlign w:val="center"/>
                </w:tcPr>
                <w:p w:rsidR="00B5393B" w:rsidRPr="00C769EC" w:rsidRDefault="00B5393B" w:rsidP="00D54EB6">
                  <w:pPr>
                    <w:widowControl/>
                    <w:snapToGrid w:val="0"/>
                    <w:ind w:right="147"/>
                    <w:jc w:val="both"/>
                    <w:rPr>
                      <w:rFonts w:hAnsi="標楷體"/>
                      <w:bCs/>
                      <w:kern w:val="0"/>
                      <w:sz w:val="20"/>
                    </w:rPr>
                  </w:pPr>
                </w:p>
              </w:tc>
            </w:tr>
            <w:tr w:rsidR="00B5393B" w:rsidRPr="00C769EC" w:rsidTr="00D54EB6">
              <w:tc>
                <w:tcPr>
                  <w:tcW w:w="3119" w:type="dxa"/>
                  <w:shd w:val="clear" w:color="auto" w:fill="auto"/>
                  <w:vAlign w:val="center"/>
                </w:tcPr>
                <w:p w:rsidR="00B5393B" w:rsidRPr="00C769EC" w:rsidRDefault="00B5393B" w:rsidP="00D54EB6">
                  <w:pPr>
                    <w:widowControl/>
                    <w:snapToGrid w:val="0"/>
                    <w:ind w:leftChars="100" w:left="240"/>
                    <w:jc w:val="both"/>
                    <w:rPr>
                      <w:rFonts w:hAnsi="標楷體"/>
                      <w:kern w:val="0"/>
                      <w:sz w:val="20"/>
                    </w:rPr>
                  </w:pPr>
                  <w:r w:rsidRPr="00C769EC">
                    <w:rPr>
                      <w:rFonts w:hAnsi="標楷體"/>
                      <w:kern w:val="0"/>
                      <w:sz w:val="20"/>
                    </w:rPr>
                    <w:t>持有至到期日金融資產</w:t>
                  </w:r>
                </w:p>
              </w:tc>
              <w:tc>
                <w:tcPr>
                  <w:tcW w:w="1701"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c>
                <w:tcPr>
                  <w:tcW w:w="1559"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r>
            <w:tr w:rsidR="00B5393B" w:rsidRPr="00C769EC" w:rsidTr="00D54EB6">
              <w:tc>
                <w:tcPr>
                  <w:tcW w:w="3119" w:type="dxa"/>
                  <w:shd w:val="clear" w:color="auto" w:fill="auto"/>
                  <w:vAlign w:val="center"/>
                </w:tcPr>
                <w:p w:rsidR="00B5393B" w:rsidRPr="00C769EC" w:rsidRDefault="00B60BBF" w:rsidP="00B60BBF">
                  <w:pPr>
                    <w:widowControl/>
                    <w:snapToGrid w:val="0"/>
                    <w:ind w:leftChars="100" w:left="424" w:hangingChars="92" w:hanging="184"/>
                    <w:jc w:val="both"/>
                    <w:rPr>
                      <w:rFonts w:hAnsi="標楷體"/>
                      <w:kern w:val="0"/>
                      <w:sz w:val="20"/>
                    </w:rPr>
                  </w:pPr>
                  <w:r>
                    <w:rPr>
                      <w:rFonts w:hAnsi="標楷體"/>
                      <w:kern w:val="0"/>
                      <w:sz w:val="20"/>
                    </w:rPr>
                    <w:t>無活絡市場之債</w:t>
                  </w:r>
                  <w:r>
                    <w:rPr>
                      <w:rFonts w:hAnsi="標楷體" w:hint="eastAsia"/>
                      <w:kern w:val="0"/>
                      <w:sz w:val="20"/>
                    </w:rPr>
                    <w:t>券</w:t>
                  </w:r>
                  <w:r w:rsidR="008465AC">
                    <w:rPr>
                      <w:rFonts w:hAnsi="標楷體" w:hint="eastAsia"/>
                      <w:kern w:val="0"/>
                      <w:sz w:val="20"/>
                    </w:rPr>
                    <w:t>工具</w:t>
                  </w:r>
                </w:p>
              </w:tc>
              <w:tc>
                <w:tcPr>
                  <w:tcW w:w="1701"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c>
                <w:tcPr>
                  <w:tcW w:w="1559"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r>
            <w:tr w:rsidR="00B5393B" w:rsidRPr="00C769EC" w:rsidTr="00D54EB6">
              <w:tc>
                <w:tcPr>
                  <w:tcW w:w="3119" w:type="dxa"/>
                  <w:shd w:val="clear" w:color="auto" w:fill="auto"/>
                  <w:vAlign w:val="center"/>
                </w:tcPr>
                <w:p w:rsidR="00B5393B" w:rsidRPr="00C769EC" w:rsidRDefault="00B5393B" w:rsidP="00D54EB6">
                  <w:pPr>
                    <w:widowControl/>
                    <w:snapToGrid w:val="0"/>
                    <w:ind w:leftChars="100" w:left="424" w:hangingChars="92" w:hanging="184"/>
                    <w:jc w:val="both"/>
                    <w:rPr>
                      <w:rFonts w:hAnsi="標楷體"/>
                      <w:kern w:val="0"/>
                      <w:sz w:val="20"/>
                    </w:rPr>
                  </w:pPr>
                </w:p>
              </w:tc>
              <w:tc>
                <w:tcPr>
                  <w:tcW w:w="1701"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c>
                <w:tcPr>
                  <w:tcW w:w="1559"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r>
            <w:tr w:rsidR="00B5393B" w:rsidRPr="00C769EC" w:rsidTr="00D54EB6">
              <w:tc>
                <w:tcPr>
                  <w:tcW w:w="3119" w:type="dxa"/>
                  <w:shd w:val="clear" w:color="auto" w:fill="auto"/>
                  <w:vAlign w:val="center"/>
                </w:tcPr>
                <w:p w:rsidR="00B5393B" w:rsidRPr="00C769EC" w:rsidRDefault="00B5393B" w:rsidP="00720ADB">
                  <w:pPr>
                    <w:widowControl/>
                    <w:snapToGrid w:val="0"/>
                    <w:ind w:left="424" w:hangingChars="212" w:hanging="424"/>
                    <w:jc w:val="both"/>
                    <w:rPr>
                      <w:rFonts w:hAnsi="標楷體"/>
                      <w:kern w:val="0"/>
                      <w:sz w:val="20"/>
                    </w:rPr>
                  </w:pPr>
                  <w:r w:rsidRPr="00C769EC">
                    <w:rPr>
                      <w:rFonts w:hAnsi="標楷體"/>
                      <w:bCs/>
                      <w:kern w:val="0"/>
                      <w:sz w:val="20"/>
                    </w:rPr>
                    <w:t>民國</w:t>
                  </w:r>
                  <w:r w:rsidR="00720ADB" w:rsidRPr="00C769EC">
                    <w:rPr>
                      <w:rFonts w:hAnsi="標楷體" w:hint="eastAsia"/>
                      <w:bCs/>
                      <w:kern w:val="0"/>
                      <w:sz w:val="20"/>
                    </w:rPr>
                    <w:t>103</w:t>
                  </w:r>
                  <w:r w:rsidRPr="00C769EC">
                    <w:rPr>
                      <w:rFonts w:hAnsi="標楷體"/>
                      <w:bCs/>
                      <w:kern w:val="0"/>
                      <w:sz w:val="20"/>
                    </w:rPr>
                    <w:t>年12月31日</w:t>
                  </w:r>
                </w:p>
              </w:tc>
              <w:tc>
                <w:tcPr>
                  <w:tcW w:w="1701"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c>
                <w:tcPr>
                  <w:tcW w:w="1559"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r>
            <w:tr w:rsidR="00B5393B" w:rsidRPr="00C769EC" w:rsidTr="00D54EB6">
              <w:tc>
                <w:tcPr>
                  <w:tcW w:w="3119" w:type="dxa"/>
                  <w:shd w:val="clear" w:color="auto" w:fill="auto"/>
                  <w:vAlign w:val="center"/>
                </w:tcPr>
                <w:p w:rsidR="00B5393B" w:rsidRPr="00C769EC" w:rsidRDefault="00B5393B" w:rsidP="00D54EB6">
                  <w:pPr>
                    <w:widowControl/>
                    <w:snapToGrid w:val="0"/>
                    <w:ind w:left="424" w:hangingChars="212" w:hanging="424"/>
                    <w:jc w:val="both"/>
                    <w:rPr>
                      <w:rFonts w:hAnsi="標楷體"/>
                      <w:kern w:val="0"/>
                      <w:sz w:val="20"/>
                    </w:rPr>
                  </w:pPr>
                  <w:r w:rsidRPr="00C769EC">
                    <w:rPr>
                      <w:rFonts w:hAnsi="標楷體"/>
                      <w:bCs/>
                      <w:kern w:val="0"/>
                      <w:sz w:val="20"/>
                      <w:u w:val="single"/>
                    </w:rPr>
                    <w:t>金融資產</w:t>
                  </w:r>
                </w:p>
              </w:tc>
              <w:tc>
                <w:tcPr>
                  <w:tcW w:w="1701"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c>
                <w:tcPr>
                  <w:tcW w:w="1559"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r>
            <w:tr w:rsidR="00B5393B" w:rsidRPr="00C769EC" w:rsidTr="00D54EB6">
              <w:tc>
                <w:tcPr>
                  <w:tcW w:w="3119" w:type="dxa"/>
                  <w:shd w:val="clear" w:color="auto" w:fill="auto"/>
                  <w:vAlign w:val="center"/>
                </w:tcPr>
                <w:p w:rsidR="00B5393B" w:rsidRPr="00C769EC" w:rsidRDefault="00B5393B" w:rsidP="00D54EB6">
                  <w:pPr>
                    <w:widowControl/>
                    <w:snapToGrid w:val="0"/>
                    <w:ind w:leftChars="100" w:left="240"/>
                    <w:jc w:val="both"/>
                    <w:rPr>
                      <w:rFonts w:hAnsi="標楷體"/>
                      <w:kern w:val="0"/>
                      <w:sz w:val="20"/>
                    </w:rPr>
                  </w:pPr>
                  <w:r w:rsidRPr="00C769EC">
                    <w:rPr>
                      <w:rFonts w:hAnsi="標楷體"/>
                      <w:kern w:val="0"/>
                      <w:sz w:val="20"/>
                    </w:rPr>
                    <w:t>持有至到期日金融資產</w:t>
                  </w:r>
                </w:p>
              </w:tc>
              <w:tc>
                <w:tcPr>
                  <w:tcW w:w="1701"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c>
                <w:tcPr>
                  <w:tcW w:w="1559"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r>
            <w:tr w:rsidR="00B5393B" w:rsidRPr="00C769EC" w:rsidTr="00D54EB6">
              <w:tc>
                <w:tcPr>
                  <w:tcW w:w="3119" w:type="dxa"/>
                  <w:shd w:val="clear" w:color="auto" w:fill="auto"/>
                  <w:vAlign w:val="center"/>
                </w:tcPr>
                <w:p w:rsidR="00B5393B" w:rsidRPr="00C769EC" w:rsidRDefault="00B5393B" w:rsidP="00D54EB6">
                  <w:pPr>
                    <w:widowControl/>
                    <w:snapToGrid w:val="0"/>
                    <w:ind w:leftChars="100" w:left="240"/>
                    <w:jc w:val="both"/>
                    <w:rPr>
                      <w:rFonts w:hAnsi="標楷體"/>
                      <w:kern w:val="0"/>
                      <w:sz w:val="20"/>
                    </w:rPr>
                  </w:pPr>
                  <w:r w:rsidRPr="00C769EC">
                    <w:rPr>
                      <w:rFonts w:hAnsi="標楷體"/>
                      <w:kern w:val="0"/>
                      <w:sz w:val="20"/>
                    </w:rPr>
                    <w:t>無活絡市場之債</w:t>
                  </w:r>
                  <w:r w:rsidR="00B60BBF">
                    <w:rPr>
                      <w:rFonts w:hAnsi="標楷體" w:hint="eastAsia"/>
                      <w:kern w:val="0"/>
                      <w:sz w:val="20"/>
                    </w:rPr>
                    <w:t>券</w:t>
                  </w:r>
                  <w:r w:rsidR="008465AC">
                    <w:rPr>
                      <w:rFonts w:hAnsi="標楷體" w:hint="eastAsia"/>
                      <w:kern w:val="0"/>
                      <w:sz w:val="20"/>
                    </w:rPr>
                    <w:t>工具</w:t>
                  </w:r>
                </w:p>
              </w:tc>
              <w:tc>
                <w:tcPr>
                  <w:tcW w:w="1701"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c>
                <w:tcPr>
                  <w:tcW w:w="1559"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r>
            <w:tr w:rsidR="00B5393B" w:rsidRPr="00C769EC" w:rsidTr="00D54EB6">
              <w:tc>
                <w:tcPr>
                  <w:tcW w:w="3119" w:type="dxa"/>
                  <w:shd w:val="clear" w:color="auto" w:fill="auto"/>
                  <w:vAlign w:val="center"/>
                </w:tcPr>
                <w:p w:rsidR="00B5393B" w:rsidRPr="00C769EC" w:rsidRDefault="00B5393B" w:rsidP="00D54EB6">
                  <w:pPr>
                    <w:widowControl/>
                    <w:snapToGrid w:val="0"/>
                    <w:jc w:val="both"/>
                    <w:rPr>
                      <w:rFonts w:hAnsi="標楷體"/>
                      <w:kern w:val="0"/>
                      <w:sz w:val="20"/>
                    </w:rPr>
                  </w:pPr>
                </w:p>
              </w:tc>
              <w:tc>
                <w:tcPr>
                  <w:tcW w:w="1701"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c>
                <w:tcPr>
                  <w:tcW w:w="1559" w:type="dxa"/>
                  <w:shd w:val="clear" w:color="auto" w:fill="auto"/>
                  <w:vAlign w:val="center"/>
                </w:tcPr>
                <w:p w:rsidR="00B5393B" w:rsidRPr="00C769EC" w:rsidRDefault="00B5393B" w:rsidP="00D54EB6">
                  <w:pPr>
                    <w:widowControl/>
                    <w:snapToGrid w:val="0"/>
                    <w:ind w:right="147"/>
                    <w:jc w:val="right"/>
                    <w:rPr>
                      <w:rFonts w:hAnsi="標楷體"/>
                      <w:kern w:val="0"/>
                      <w:sz w:val="20"/>
                    </w:rPr>
                  </w:pPr>
                </w:p>
              </w:tc>
            </w:tr>
          </w:tbl>
          <w:p w:rsidR="00B5393B" w:rsidRPr="00C769EC" w:rsidRDefault="00B5393B" w:rsidP="00D54EB6">
            <w:pPr>
              <w:spacing w:before="120" w:after="120"/>
              <w:ind w:left="1095"/>
              <w:outlineLvl w:val="2"/>
              <w:rPr>
                <w:rFonts w:hAnsi="標楷體" w:cs="Arial"/>
                <w:b/>
                <w:szCs w:val="24"/>
              </w:rPr>
            </w:pPr>
          </w:p>
        </w:tc>
      </w:tr>
      <w:tr w:rsidR="00B5393B" w:rsidRPr="00C769EC" w:rsidTr="00A37C7D">
        <w:tc>
          <w:tcPr>
            <w:tcW w:w="1260" w:type="dxa"/>
            <w:gridSpan w:val="3"/>
          </w:tcPr>
          <w:p w:rsidR="00B5393B" w:rsidRPr="00C769EC" w:rsidRDefault="00B5393B" w:rsidP="007C1361">
            <w:pPr>
              <w:snapToGrid w:val="0"/>
              <w:rPr>
                <w:rFonts w:hAnsi="標楷體" w:cs="Arial"/>
                <w:sz w:val="16"/>
                <w:szCs w:val="16"/>
              </w:rPr>
            </w:pPr>
            <w:r w:rsidRPr="00C769EC">
              <w:rPr>
                <w:rFonts w:hAnsi="標楷體" w:cs="Arial"/>
                <w:sz w:val="16"/>
                <w:szCs w:val="16"/>
              </w:rPr>
              <w:lastRenderedPageBreak/>
              <w:t>IFRS</w:t>
            </w:r>
            <w:r w:rsidRPr="00C769EC">
              <w:rPr>
                <w:rFonts w:hAnsi="標楷體" w:cs="Arial" w:hint="eastAsia"/>
                <w:sz w:val="16"/>
                <w:szCs w:val="16"/>
              </w:rPr>
              <w:t>13</w:t>
            </w:r>
            <w:r w:rsidR="007C1361" w:rsidRPr="00C769EC">
              <w:rPr>
                <w:rFonts w:hAnsi="標楷體" w:cs="Arial" w:hint="eastAsia"/>
                <w:sz w:val="16"/>
                <w:szCs w:val="16"/>
              </w:rPr>
              <w:t>.</w:t>
            </w:r>
            <w:r w:rsidRPr="00C769EC">
              <w:rPr>
                <w:rFonts w:hAnsi="標楷體" w:cs="Arial" w:hint="eastAsia"/>
                <w:sz w:val="16"/>
                <w:szCs w:val="16"/>
              </w:rPr>
              <w:t xml:space="preserve">72, </w:t>
            </w:r>
            <w:r w:rsidRPr="00C769EC">
              <w:rPr>
                <w:rFonts w:hAnsi="標楷體" w:cs="Arial"/>
                <w:sz w:val="16"/>
                <w:szCs w:val="16"/>
              </w:rPr>
              <w:t>IFRS</w:t>
            </w:r>
            <w:r w:rsidRPr="00C769EC">
              <w:rPr>
                <w:rFonts w:hAnsi="標楷體" w:cs="Arial" w:hint="eastAsia"/>
                <w:sz w:val="16"/>
                <w:szCs w:val="16"/>
              </w:rPr>
              <w:t>13</w:t>
            </w:r>
            <w:r w:rsidR="007C1361" w:rsidRPr="00C769EC">
              <w:rPr>
                <w:rFonts w:hAnsi="標楷體" w:cs="Arial" w:hint="eastAsia"/>
                <w:sz w:val="16"/>
                <w:szCs w:val="16"/>
              </w:rPr>
              <w:t>.</w:t>
            </w:r>
            <w:r w:rsidRPr="00C769EC">
              <w:rPr>
                <w:rFonts w:hAnsi="標楷體" w:cs="Arial" w:hint="eastAsia"/>
                <w:sz w:val="16"/>
                <w:szCs w:val="16"/>
              </w:rPr>
              <w:t>76, IFRS13</w:t>
            </w:r>
            <w:r w:rsidR="007C1361" w:rsidRPr="00C769EC">
              <w:rPr>
                <w:rFonts w:hAnsi="標楷體" w:cs="Arial" w:hint="eastAsia"/>
                <w:sz w:val="16"/>
                <w:szCs w:val="16"/>
              </w:rPr>
              <w:t>.</w:t>
            </w:r>
            <w:r w:rsidRPr="00C769EC">
              <w:rPr>
                <w:rFonts w:hAnsi="標楷體" w:cs="Arial" w:hint="eastAsia"/>
                <w:sz w:val="16"/>
                <w:szCs w:val="16"/>
              </w:rPr>
              <w:t>81, IFRS13</w:t>
            </w:r>
            <w:r w:rsidR="007C1361" w:rsidRPr="00C769EC">
              <w:rPr>
                <w:rFonts w:hAnsi="標楷體" w:cs="Arial" w:hint="eastAsia"/>
                <w:sz w:val="16"/>
                <w:szCs w:val="16"/>
              </w:rPr>
              <w:t>.</w:t>
            </w:r>
            <w:r w:rsidRPr="00C769EC">
              <w:rPr>
                <w:rFonts w:hAnsi="標楷體" w:cs="Arial" w:hint="eastAsia"/>
                <w:sz w:val="16"/>
                <w:szCs w:val="16"/>
              </w:rPr>
              <w:t>86</w:t>
            </w:r>
          </w:p>
        </w:tc>
        <w:tc>
          <w:tcPr>
            <w:tcW w:w="9628" w:type="dxa"/>
            <w:gridSpan w:val="9"/>
          </w:tcPr>
          <w:p w:rsidR="00B5393B" w:rsidRPr="00C769EC" w:rsidRDefault="00B5393B" w:rsidP="00B5393B">
            <w:pPr>
              <w:numPr>
                <w:ilvl w:val="1"/>
                <w:numId w:val="17"/>
              </w:numPr>
              <w:tabs>
                <w:tab w:val="clear" w:pos="992"/>
              </w:tabs>
              <w:spacing w:before="120" w:after="120"/>
              <w:ind w:left="1095"/>
              <w:outlineLvl w:val="2"/>
              <w:rPr>
                <w:rFonts w:hAnsi="標楷體" w:cs="Arial"/>
                <w:sz w:val="32"/>
                <w:szCs w:val="32"/>
              </w:rPr>
            </w:pPr>
            <w:r w:rsidRPr="00C769EC">
              <w:rPr>
                <w:rFonts w:hAnsi="標楷體" w:cs="Arial"/>
                <w:sz w:val="32"/>
                <w:szCs w:val="32"/>
              </w:rPr>
              <w:t>公允價值之</w:t>
            </w:r>
            <w:r w:rsidRPr="00C769EC">
              <w:rPr>
                <w:rFonts w:hAnsi="標楷體" w:cs="Arial" w:hint="eastAsia"/>
                <w:sz w:val="32"/>
                <w:szCs w:val="32"/>
              </w:rPr>
              <w:t>三等級定義</w:t>
            </w:r>
          </w:p>
        </w:tc>
      </w:tr>
      <w:tr w:rsidR="00B5393B" w:rsidRPr="00C769EC" w:rsidTr="00A37C7D">
        <w:tc>
          <w:tcPr>
            <w:tcW w:w="1260" w:type="dxa"/>
            <w:gridSpan w:val="3"/>
          </w:tcPr>
          <w:p w:rsidR="00B5393B" w:rsidRPr="00C769EC" w:rsidRDefault="00B5393B" w:rsidP="00D54EB6">
            <w:pPr>
              <w:rPr>
                <w:rFonts w:hAnsi="標楷體" w:cs="Arial"/>
                <w:sz w:val="16"/>
                <w:szCs w:val="16"/>
              </w:rPr>
            </w:pPr>
          </w:p>
        </w:tc>
        <w:tc>
          <w:tcPr>
            <w:tcW w:w="9628" w:type="dxa"/>
            <w:gridSpan w:val="9"/>
          </w:tcPr>
          <w:p w:rsidR="00B5393B" w:rsidRPr="00C769EC" w:rsidRDefault="00B5393B" w:rsidP="00B5393B">
            <w:pPr>
              <w:numPr>
                <w:ilvl w:val="0"/>
                <w:numId w:val="19"/>
              </w:numPr>
              <w:spacing w:before="120" w:after="120"/>
              <w:ind w:left="1379" w:hanging="426"/>
              <w:jc w:val="both"/>
              <w:rPr>
                <w:rFonts w:hAnsi="標楷體" w:cs="Arial"/>
                <w:sz w:val="32"/>
                <w:szCs w:val="32"/>
              </w:rPr>
            </w:pPr>
            <w:r w:rsidRPr="00C769EC">
              <w:rPr>
                <w:rFonts w:hAnsi="標楷體" w:cs="Arial"/>
                <w:sz w:val="32"/>
                <w:szCs w:val="32"/>
              </w:rPr>
              <w:t>第一</w:t>
            </w:r>
            <w:r w:rsidRPr="00C769EC">
              <w:rPr>
                <w:rFonts w:hAnsi="標楷體" w:cs="Arial" w:hint="eastAsia"/>
                <w:sz w:val="32"/>
                <w:szCs w:val="32"/>
              </w:rPr>
              <w:t>等</w:t>
            </w:r>
            <w:r w:rsidRPr="00C769EC">
              <w:rPr>
                <w:rFonts w:hAnsi="標楷體" w:cs="Arial"/>
                <w:sz w:val="32"/>
                <w:szCs w:val="32"/>
              </w:rPr>
              <w:t>級</w:t>
            </w:r>
          </w:p>
          <w:p w:rsidR="00B5393B" w:rsidRPr="00C769EC" w:rsidRDefault="00B5393B" w:rsidP="00720ADB">
            <w:pPr>
              <w:ind w:left="1379"/>
              <w:outlineLvl w:val="2"/>
              <w:rPr>
                <w:rFonts w:hAnsi="標楷體" w:cs="Arial"/>
                <w:sz w:val="32"/>
                <w:szCs w:val="32"/>
              </w:rPr>
            </w:pPr>
            <w:r w:rsidRPr="00C769EC">
              <w:rPr>
                <w:rFonts w:hAnsi="標楷體" w:cs="Arial" w:hint="eastAsia"/>
                <w:sz w:val="32"/>
                <w:szCs w:val="32"/>
              </w:rPr>
              <w:t>該等級之</w:t>
            </w:r>
            <w:proofErr w:type="gramStart"/>
            <w:r w:rsidRPr="00C769EC">
              <w:rPr>
                <w:rFonts w:hAnsi="標楷體" w:cs="Arial" w:hint="eastAsia"/>
                <w:sz w:val="32"/>
                <w:szCs w:val="32"/>
              </w:rPr>
              <w:t>輸入值</w:t>
            </w:r>
            <w:r w:rsidRPr="00C769EC">
              <w:rPr>
                <w:rFonts w:hAnsi="標楷體" w:cs="Arial"/>
                <w:sz w:val="32"/>
                <w:szCs w:val="32"/>
              </w:rPr>
              <w:t>係指</w:t>
            </w:r>
            <w:proofErr w:type="gramEnd"/>
            <w:r w:rsidRPr="00C769EC">
              <w:rPr>
                <w:rFonts w:hAnsi="標楷體" w:cs="Arial"/>
                <w:sz w:val="32"/>
                <w:szCs w:val="32"/>
              </w:rPr>
              <w:t>工具於活絡市場中，相同工具之</w:t>
            </w:r>
            <w:r w:rsidRPr="00C769EC">
              <w:rPr>
                <w:rFonts w:hAnsi="標楷體" w:cs="Arial" w:hint="eastAsia"/>
                <w:sz w:val="32"/>
                <w:szCs w:val="32"/>
              </w:rPr>
              <w:t>活絡市場</w:t>
            </w:r>
            <w:r w:rsidRPr="00C769EC">
              <w:rPr>
                <w:rFonts w:hAnsi="標楷體" w:cs="Arial"/>
                <w:sz w:val="32"/>
                <w:szCs w:val="32"/>
              </w:rPr>
              <w:t>公開報價</w:t>
            </w:r>
            <w:r w:rsidRPr="00C769EC">
              <w:rPr>
                <w:rFonts w:hAnsi="標楷體" w:cs="Arial" w:hint="eastAsia"/>
                <w:sz w:val="32"/>
                <w:szCs w:val="32"/>
              </w:rPr>
              <w:t>。</w:t>
            </w:r>
            <w:r w:rsidR="00DA358C" w:rsidRPr="00C769EC">
              <w:rPr>
                <w:rFonts w:hAnsi="標楷體" w:cs="Arial"/>
                <w:sz w:val="32"/>
                <w:szCs w:val="32"/>
              </w:rPr>
              <w:t>活絡市場係指符合以下所有條件之市場：在市場交易之商品具</w:t>
            </w:r>
            <w:r w:rsidRPr="00C769EC">
              <w:rPr>
                <w:rFonts w:hAnsi="標楷體" w:cs="Arial"/>
                <w:sz w:val="32"/>
                <w:szCs w:val="32"/>
              </w:rPr>
              <w:t>同質性；隨時可於市場中尋得具意願之買賣雙方且價格資訊可為大眾取得。</w:t>
            </w:r>
            <w:r w:rsidR="00072156" w:rsidRPr="00C769EC">
              <w:rPr>
                <w:rFonts w:hAnsi="標楷體"/>
                <w:sz w:val="32"/>
                <w:szCs w:val="32"/>
              </w:rPr>
              <w:t>本集團</w:t>
            </w:r>
            <w:r w:rsidRPr="00C769EC">
              <w:rPr>
                <w:rFonts w:hAnsi="標楷體"/>
                <w:sz w:val="32"/>
                <w:szCs w:val="32"/>
              </w:rPr>
              <w:t>投資之上市櫃股票投資、受益憑證、屬於熱門</w:t>
            </w:r>
            <w:proofErr w:type="gramStart"/>
            <w:r w:rsidRPr="00C769EC">
              <w:rPr>
                <w:rFonts w:hAnsi="標楷體"/>
                <w:sz w:val="32"/>
                <w:szCs w:val="32"/>
              </w:rPr>
              <w:t>券</w:t>
            </w:r>
            <w:proofErr w:type="gramEnd"/>
            <w:r w:rsidRPr="00C769EC">
              <w:rPr>
                <w:rFonts w:hAnsi="標楷體"/>
                <w:sz w:val="32"/>
                <w:szCs w:val="32"/>
              </w:rPr>
              <w:t>之臺灣中央政府債券投資及有活絡市場公開報價之衍生工具等公允價值，係屬於第一等級。</w:t>
            </w:r>
          </w:p>
        </w:tc>
      </w:tr>
      <w:tr w:rsidR="00B5393B" w:rsidRPr="00C769EC" w:rsidTr="00A37C7D">
        <w:tc>
          <w:tcPr>
            <w:tcW w:w="1260" w:type="dxa"/>
            <w:gridSpan w:val="3"/>
          </w:tcPr>
          <w:p w:rsidR="00B5393B" w:rsidRPr="00C769EC" w:rsidRDefault="00B5393B" w:rsidP="00D54EB6">
            <w:pPr>
              <w:rPr>
                <w:rFonts w:hAnsi="標楷體" w:cs="Arial"/>
                <w:sz w:val="16"/>
                <w:szCs w:val="16"/>
              </w:rPr>
            </w:pPr>
          </w:p>
        </w:tc>
        <w:tc>
          <w:tcPr>
            <w:tcW w:w="9628" w:type="dxa"/>
            <w:gridSpan w:val="9"/>
          </w:tcPr>
          <w:p w:rsidR="00B5393B" w:rsidRPr="00C769EC" w:rsidRDefault="00B5393B" w:rsidP="00B5393B">
            <w:pPr>
              <w:numPr>
                <w:ilvl w:val="0"/>
                <w:numId w:val="19"/>
              </w:numPr>
              <w:spacing w:before="120" w:after="120"/>
              <w:ind w:left="1379" w:hanging="426"/>
              <w:jc w:val="both"/>
              <w:rPr>
                <w:rFonts w:hAnsi="標楷體" w:cs="Arial"/>
                <w:sz w:val="32"/>
                <w:szCs w:val="32"/>
              </w:rPr>
            </w:pPr>
            <w:r w:rsidRPr="00C769EC">
              <w:rPr>
                <w:rFonts w:hAnsi="標楷體" w:cs="Arial"/>
                <w:sz w:val="32"/>
                <w:szCs w:val="32"/>
              </w:rPr>
              <w:t>第二</w:t>
            </w:r>
            <w:r w:rsidRPr="00C769EC">
              <w:rPr>
                <w:rFonts w:hAnsi="標楷體" w:cs="Arial" w:hint="eastAsia"/>
                <w:sz w:val="32"/>
                <w:szCs w:val="32"/>
              </w:rPr>
              <w:t>等</w:t>
            </w:r>
            <w:r w:rsidRPr="00C769EC">
              <w:rPr>
                <w:rFonts w:hAnsi="標楷體" w:cs="Arial"/>
                <w:sz w:val="32"/>
                <w:szCs w:val="32"/>
              </w:rPr>
              <w:t>級</w:t>
            </w:r>
          </w:p>
          <w:p w:rsidR="00B5393B" w:rsidRPr="00C769EC" w:rsidRDefault="00B5393B" w:rsidP="00A37C7D">
            <w:pPr>
              <w:ind w:left="1379"/>
              <w:outlineLvl w:val="2"/>
              <w:rPr>
                <w:rFonts w:hAnsi="標楷體" w:cs="Arial"/>
                <w:sz w:val="32"/>
                <w:szCs w:val="32"/>
              </w:rPr>
            </w:pPr>
            <w:r w:rsidRPr="00C769EC">
              <w:rPr>
                <w:rFonts w:hAnsi="標楷體" w:cs="Arial" w:hint="eastAsia"/>
                <w:sz w:val="32"/>
                <w:szCs w:val="32"/>
              </w:rPr>
              <w:t>該等級之</w:t>
            </w:r>
            <w:proofErr w:type="gramStart"/>
            <w:r w:rsidRPr="00C769EC">
              <w:rPr>
                <w:rFonts w:hAnsi="標楷體" w:cs="Arial" w:hint="eastAsia"/>
                <w:sz w:val="32"/>
                <w:szCs w:val="32"/>
              </w:rPr>
              <w:t>輸入值</w:t>
            </w:r>
            <w:r w:rsidRPr="00C769EC">
              <w:rPr>
                <w:rFonts w:hAnsi="標楷體" w:cs="Arial"/>
                <w:sz w:val="32"/>
                <w:szCs w:val="32"/>
              </w:rPr>
              <w:t>係指</w:t>
            </w:r>
            <w:proofErr w:type="gramEnd"/>
            <w:r w:rsidRPr="00C769EC">
              <w:rPr>
                <w:rFonts w:hAnsi="標楷體" w:cs="Arial"/>
                <w:sz w:val="32"/>
                <w:szCs w:val="32"/>
              </w:rPr>
              <w:t>除活絡市場公開報價以外之可觀察價格，包括直接</w:t>
            </w:r>
            <w:r w:rsidRPr="00C769EC">
              <w:rPr>
                <w:rFonts w:hAnsi="標楷體" w:cs="Arial" w:hint="eastAsia"/>
                <w:sz w:val="32"/>
                <w:szCs w:val="32"/>
              </w:rPr>
              <w:t>(</w:t>
            </w:r>
            <w:r w:rsidRPr="00C769EC">
              <w:rPr>
                <w:rFonts w:hAnsi="標楷體" w:cs="Arial"/>
                <w:sz w:val="32"/>
                <w:szCs w:val="32"/>
              </w:rPr>
              <w:t>如價格)或間接</w:t>
            </w:r>
            <w:r w:rsidRPr="00C769EC">
              <w:rPr>
                <w:rFonts w:hAnsi="標楷體" w:cs="Arial" w:hint="eastAsia"/>
                <w:sz w:val="32"/>
                <w:szCs w:val="32"/>
              </w:rPr>
              <w:t>(</w:t>
            </w:r>
            <w:r w:rsidRPr="00C769EC">
              <w:rPr>
                <w:rFonts w:hAnsi="標楷體" w:cs="Arial"/>
                <w:sz w:val="32"/>
                <w:szCs w:val="32"/>
              </w:rPr>
              <w:t>如自價格推導而來)自活絡市場取得之可觀察</w:t>
            </w:r>
            <w:r w:rsidRPr="00C769EC">
              <w:rPr>
                <w:rFonts w:hAnsi="標楷體" w:cs="Arial" w:hint="eastAsia"/>
                <w:sz w:val="32"/>
                <w:szCs w:val="32"/>
              </w:rPr>
              <w:t>輸入值</w:t>
            </w:r>
            <w:r w:rsidRPr="00C769EC">
              <w:rPr>
                <w:rFonts w:hAnsi="標楷體" w:cs="Arial"/>
                <w:sz w:val="32"/>
                <w:szCs w:val="32"/>
              </w:rPr>
              <w:t>。</w:t>
            </w:r>
            <w:r w:rsidR="00072156" w:rsidRPr="00C769EC">
              <w:rPr>
                <w:rFonts w:hAnsi="標楷體" w:cs="Arial"/>
                <w:sz w:val="32"/>
                <w:szCs w:val="32"/>
              </w:rPr>
              <w:t>本集團</w:t>
            </w:r>
            <w:r w:rsidRPr="00C769EC">
              <w:rPr>
                <w:rFonts w:hAnsi="標楷體" w:cs="Arial"/>
                <w:sz w:val="32"/>
                <w:szCs w:val="32"/>
              </w:rPr>
              <w:t>投資之非屬熱門</w:t>
            </w:r>
            <w:proofErr w:type="gramStart"/>
            <w:r w:rsidRPr="00C769EC">
              <w:rPr>
                <w:rFonts w:hAnsi="標楷體" w:cs="Arial"/>
                <w:sz w:val="32"/>
                <w:szCs w:val="32"/>
              </w:rPr>
              <w:t>券</w:t>
            </w:r>
            <w:proofErr w:type="gramEnd"/>
            <w:r w:rsidRPr="00C769EC">
              <w:rPr>
                <w:rFonts w:hAnsi="標楷體" w:cs="Arial"/>
                <w:sz w:val="32"/>
                <w:szCs w:val="32"/>
              </w:rPr>
              <w:t>之公債、公司債、金融債券、可轉換公司債</w:t>
            </w:r>
            <w:r w:rsidR="00A37C7D" w:rsidRPr="00C769EC">
              <w:rPr>
                <w:rFonts w:hAnsi="標楷體" w:cs="Arial"/>
                <w:sz w:val="32"/>
                <w:szCs w:val="32"/>
              </w:rPr>
              <w:t>及</w:t>
            </w:r>
            <w:r w:rsidRPr="00C769EC">
              <w:rPr>
                <w:rFonts w:hAnsi="標楷體" w:cs="Arial"/>
                <w:sz w:val="32"/>
                <w:szCs w:val="32"/>
              </w:rPr>
              <w:t>大部分衍生工具等皆屬之。</w:t>
            </w:r>
          </w:p>
        </w:tc>
      </w:tr>
      <w:tr w:rsidR="00B5393B" w:rsidRPr="00C769EC" w:rsidTr="00A37C7D">
        <w:tc>
          <w:tcPr>
            <w:tcW w:w="1260" w:type="dxa"/>
            <w:gridSpan w:val="3"/>
          </w:tcPr>
          <w:p w:rsidR="00B5393B" w:rsidRPr="00C769EC" w:rsidRDefault="00B5393B" w:rsidP="00D54EB6">
            <w:pPr>
              <w:rPr>
                <w:rFonts w:hAnsi="標楷體" w:cs="Arial"/>
                <w:sz w:val="16"/>
                <w:szCs w:val="16"/>
              </w:rPr>
            </w:pPr>
          </w:p>
        </w:tc>
        <w:tc>
          <w:tcPr>
            <w:tcW w:w="9628" w:type="dxa"/>
            <w:gridSpan w:val="9"/>
          </w:tcPr>
          <w:p w:rsidR="00B5393B" w:rsidRPr="00C769EC" w:rsidRDefault="00B5393B" w:rsidP="00B5393B">
            <w:pPr>
              <w:numPr>
                <w:ilvl w:val="0"/>
                <w:numId w:val="19"/>
              </w:numPr>
              <w:spacing w:before="120" w:after="120"/>
              <w:ind w:left="1379" w:hanging="426"/>
              <w:jc w:val="both"/>
              <w:rPr>
                <w:rFonts w:hAnsi="標楷體" w:cs="Arial"/>
                <w:sz w:val="32"/>
                <w:szCs w:val="32"/>
              </w:rPr>
            </w:pPr>
            <w:r w:rsidRPr="00C769EC">
              <w:rPr>
                <w:rFonts w:hAnsi="標楷體" w:cs="Arial"/>
                <w:sz w:val="32"/>
                <w:szCs w:val="32"/>
              </w:rPr>
              <w:t>第三</w:t>
            </w:r>
            <w:r w:rsidRPr="00C769EC">
              <w:rPr>
                <w:rFonts w:hAnsi="標楷體" w:cs="Arial" w:hint="eastAsia"/>
                <w:sz w:val="32"/>
                <w:szCs w:val="32"/>
              </w:rPr>
              <w:t>等</w:t>
            </w:r>
            <w:r w:rsidRPr="00C769EC">
              <w:rPr>
                <w:rFonts w:hAnsi="標楷體" w:cs="Arial"/>
                <w:sz w:val="32"/>
                <w:szCs w:val="32"/>
              </w:rPr>
              <w:t>級</w:t>
            </w:r>
          </w:p>
          <w:p w:rsidR="00B5393B" w:rsidRPr="00C769EC" w:rsidRDefault="00B5393B" w:rsidP="00720ADB">
            <w:pPr>
              <w:ind w:left="1379"/>
              <w:outlineLvl w:val="2"/>
              <w:rPr>
                <w:rFonts w:hAnsi="標楷體" w:cs="Arial"/>
                <w:sz w:val="32"/>
                <w:szCs w:val="32"/>
              </w:rPr>
            </w:pPr>
            <w:r w:rsidRPr="00C769EC">
              <w:rPr>
                <w:rFonts w:hAnsi="標楷體" w:cs="Arial" w:hint="eastAsia"/>
                <w:sz w:val="32"/>
                <w:szCs w:val="32"/>
              </w:rPr>
              <w:t>該等級之</w:t>
            </w:r>
            <w:proofErr w:type="gramStart"/>
            <w:r w:rsidRPr="00C769EC">
              <w:rPr>
                <w:rFonts w:hAnsi="標楷體" w:cs="Arial" w:hint="eastAsia"/>
                <w:sz w:val="32"/>
                <w:szCs w:val="32"/>
              </w:rPr>
              <w:t>輸入值</w:t>
            </w:r>
            <w:r w:rsidRPr="00C769EC">
              <w:rPr>
                <w:rFonts w:hAnsi="標楷體"/>
                <w:sz w:val="32"/>
                <w:szCs w:val="32"/>
              </w:rPr>
              <w:t>係指</w:t>
            </w:r>
            <w:proofErr w:type="gramEnd"/>
            <w:r w:rsidRPr="00C769EC">
              <w:rPr>
                <w:rFonts w:hAnsi="標楷體"/>
                <w:sz w:val="32"/>
                <w:szCs w:val="32"/>
              </w:rPr>
              <w:t>衡量公允價值之投入參數並非根據市場可取得之</w:t>
            </w:r>
            <w:r w:rsidRPr="00C769EC">
              <w:rPr>
                <w:rFonts w:hAnsi="標楷體" w:hint="eastAsia"/>
                <w:sz w:val="32"/>
                <w:szCs w:val="32"/>
              </w:rPr>
              <w:t>可觀察輸入值</w:t>
            </w:r>
            <w:r w:rsidRPr="00C769EC">
              <w:rPr>
                <w:rFonts w:hAnsi="標楷體"/>
                <w:sz w:val="32"/>
                <w:szCs w:val="32"/>
              </w:rPr>
              <w:t>。</w:t>
            </w:r>
            <w:r w:rsidR="00072156" w:rsidRPr="00C769EC">
              <w:rPr>
                <w:rFonts w:hAnsi="標楷體"/>
                <w:sz w:val="32"/>
                <w:szCs w:val="32"/>
              </w:rPr>
              <w:t>本集團</w:t>
            </w:r>
            <w:r w:rsidRPr="00C769EC">
              <w:rPr>
                <w:rFonts w:hAnsi="標楷體"/>
                <w:sz w:val="32"/>
                <w:szCs w:val="32"/>
              </w:rPr>
              <w:t>投資之部份衍生工具及無活絡市場之權益工具投資皆屬之。</w:t>
            </w:r>
          </w:p>
        </w:tc>
      </w:tr>
      <w:tr w:rsidR="00B5393B" w:rsidRPr="00C769EC" w:rsidTr="00A37C7D">
        <w:tc>
          <w:tcPr>
            <w:tcW w:w="1260" w:type="dxa"/>
            <w:gridSpan w:val="3"/>
          </w:tcPr>
          <w:p w:rsidR="00B5393B" w:rsidRPr="00C769EC" w:rsidRDefault="00DA358C" w:rsidP="00DA358C">
            <w:pPr>
              <w:snapToGrid w:val="0"/>
              <w:rPr>
                <w:rFonts w:hAnsi="標楷體" w:cs="Arial"/>
                <w:sz w:val="16"/>
                <w:szCs w:val="16"/>
              </w:rPr>
            </w:pPr>
            <w:r w:rsidRPr="00C769EC">
              <w:rPr>
                <w:rFonts w:hAnsi="標楷體" w:cs="Arial" w:hint="eastAsia"/>
                <w:sz w:val="16"/>
                <w:szCs w:val="16"/>
              </w:rPr>
              <w:t>IFRS13.93(d)/97</w:t>
            </w:r>
          </w:p>
        </w:tc>
        <w:tc>
          <w:tcPr>
            <w:tcW w:w="9628" w:type="dxa"/>
            <w:gridSpan w:val="9"/>
          </w:tcPr>
          <w:p w:rsidR="00B5393B" w:rsidRPr="00C769EC" w:rsidRDefault="00B5393B" w:rsidP="00720ADB">
            <w:pPr>
              <w:numPr>
                <w:ilvl w:val="1"/>
                <w:numId w:val="17"/>
              </w:numPr>
              <w:tabs>
                <w:tab w:val="clear" w:pos="992"/>
              </w:tabs>
              <w:spacing w:before="120" w:after="120"/>
              <w:ind w:left="1095"/>
              <w:outlineLvl w:val="2"/>
              <w:rPr>
                <w:rFonts w:hAnsi="標楷體"/>
                <w:sz w:val="32"/>
                <w:szCs w:val="32"/>
              </w:rPr>
            </w:pPr>
            <w:r w:rsidRPr="00C769EC">
              <w:rPr>
                <w:rFonts w:hAnsi="標楷體" w:cs="Arial"/>
                <w:sz w:val="32"/>
                <w:szCs w:val="32"/>
              </w:rPr>
              <w:t>非按公允價值衡量之工具</w:t>
            </w:r>
            <w:r w:rsidR="00A30B39" w:rsidRPr="00C769EC">
              <w:rPr>
                <w:rFonts w:hAnsi="標楷體" w:cs="Arial" w:hint="eastAsia"/>
                <w:sz w:val="32"/>
                <w:szCs w:val="32"/>
              </w:rPr>
              <w:t>的</w:t>
            </w:r>
            <w:r w:rsidRPr="00C769EC">
              <w:rPr>
                <w:rFonts w:hAnsi="標楷體" w:cs="Arial"/>
                <w:sz w:val="32"/>
                <w:szCs w:val="32"/>
              </w:rPr>
              <w:t>公允價值</w:t>
            </w:r>
            <w:r w:rsidRPr="00C769EC">
              <w:rPr>
                <w:rFonts w:hAnsi="標楷體" w:cs="Arial" w:hint="eastAsia"/>
                <w:sz w:val="32"/>
                <w:szCs w:val="32"/>
              </w:rPr>
              <w:t>評價技術</w:t>
            </w:r>
          </w:p>
        </w:tc>
      </w:tr>
      <w:tr w:rsidR="00B5393B" w:rsidRPr="00C769EC" w:rsidTr="00A37C7D">
        <w:tc>
          <w:tcPr>
            <w:tcW w:w="1260" w:type="dxa"/>
            <w:gridSpan w:val="3"/>
          </w:tcPr>
          <w:p w:rsidR="00B5393B" w:rsidRPr="00C769EC" w:rsidRDefault="00B5393B" w:rsidP="00D54EB6">
            <w:pPr>
              <w:rPr>
                <w:rFonts w:hAnsi="標楷體" w:cs="Arial"/>
                <w:sz w:val="16"/>
                <w:szCs w:val="16"/>
              </w:rPr>
            </w:pPr>
          </w:p>
        </w:tc>
        <w:tc>
          <w:tcPr>
            <w:tcW w:w="9628" w:type="dxa"/>
            <w:gridSpan w:val="9"/>
          </w:tcPr>
          <w:p w:rsidR="00B5393B" w:rsidRPr="00C769EC" w:rsidRDefault="00072156" w:rsidP="00A30B39">
            <w:pPr>
              <w:spacing w:before="120" w:after="120"/>
              <w:ind w:left="1095"/>
              <w:jc w:val="both"/>
              <w:rPr>
                <w:rFonts w:hAnsi="標楷體"/>
                <w:sz w:val="32"/>
                <w:szCs w:val="32"/>
              </w:rPr>
            </w:pPr>
            <w:r w:rsidRPr="00C769EC">
              <w:rPr>
                <w:rFonts w:hAnsi="標楷體"/>
                <w:sz w:val="32"/>
                <w:szCs w:val="32"/>
              </w:rPr>
              <w:t>本集團</w:t>
            </w:r>
            <w:r w:rsidR="00B5393B" w:rsidRPr="00C769EC">
              <w:rPr>
                <w:rFonts w:hAnsi="標楷體"/>
                <w:sz w:val="32"/>
                <w:szCs w:val="32"/>
              </w:rPr>
              <w:t>估計非按公允價值衡量之工具所使用之方法及假設如下：</w:t>
            </w:r>
          </w:p>
        </w:tc>
      </w:tr>
      <w:tr w:rsidR="00B5393B" w:rsidRPr="00C769EC" w:rsidTr="00A37C7D">
        <w:tc>
          <w:tcPr>
            <w:tcW w:w="1260" w:type="dxa"/>
            <w:gridSpan w:val="3"/>
          </w:tcPr>
          <w:p w:rsidR="00B5393B" w:rsidRPr="00C769EC" w:rsidRDefault="00B5393B" w:rsidP="00D54EB6">
            <w:pPr>
              <w:rPr>
                <w:rFonts w:hAnsi="標楷體" w:cs="Arial"/>
                <w:sz w:val="16"/>
                <w:szCs w:val="16"/>
              </w:rPr>
            </w:pPr>
          </w:p>
        </w:tc>
        <w:tc>
          <w:tcPr>
            <w:tcW w:w="9628" w:type="dxa"/>
            <w:gridSpan w:val="9"/>
          </w:tcPr>
          <w:p w:rsidR="00B5393B" w:rsidRPr="00C769EC" w:rsidRDefault="00B5393B" w:rsidP="00A30B39">
            <w:pPr>
              <w:numPr>
                <w:ilvl w:val="0"/>
                <w:numId w:val="20"/>
              </w:numPr>
              <w:autoSpaceDE w:val="0"/>
              <w:autoSpaceDN w:val="0"/>
              <w:spacing w:before="120" w:after="120"/>
              <w:ind w:left="1520" w:hanging="425"/>
              <w:jc w:val="both"/>
              <w:rPr>
                <w:rFonts w:hAnsi="標楷體"/>
                <w:sz w:val="32"/>
                <w:szCs w:val="32"/>
              </w:rPr>
            </w:pPr>
            <w:r w:rsidRPr="00C769EC">
              <w:rPr>
                <w:rFonts w:hAnsi="標楷體" w:cs="Arial"/>
                <w:sz w:val="32"/>
                <w:szCs w:val="32"/>
              </w:rPr>
              <w:t>現金及約當現金、應收款項、受限制資產、應付款項及存</w:t>
            </w:r>
            <w:r w:rsidRPr="00C769EC">
              <w:rPr>
                <w:rFonts w:hAnsi="標楷體" w:cs="Arial"/>
                <w:sz w:val="32"/>
                <w:szCs w:val="32"/>
              </w:rPr>
              <w:lastRenderedPageBreak/>
              <w:t>入保證金等金融工具，其到期日</w:t>
            </w:r>
            <w:proofErr w:type="gramStart"/>
            <w:r w:rsidRPr="00C769EC">
              <w:rPr>
                <w:rFonts w:hAnsi="標楷體" w:cs="Arial"/>
                <w:sz w:val="32"/>
                <w:szCs w:val="32"/>
              </w:rPr>
              <w:t>甚近或</w:t>
            </w:r>
            <w:proofErr w:type="gramEnd"/>
            <w:r w:rsidRPr="00C769EC">
              <w:rPr>
                <w:rFonts w:hAnsi="標楷體" w:cs="Arial"/>
                <w:sz w:val="32"/>
                <w:szCs w:val="32"/>
              </w:rPr>
              <w:t>未來收付價格與</w:t>
            </w:r>
            <w:proofErr w:type="gramStart"/>
            <w:r w:rsidRPr="00C769EC">
              <w:rPr>
                <w:rFonts w:hAnsi="標楷體" w:cs="Arial"/>
                <w:sz w:val="32"/>
                <w:szCs w:val="32"/>
              </w:rPr>
              <w:t>帳面</w:t>
            </w:r>
            <w:proofErr w:type="gramEnd"/>
            <w:r w:rsidRPr="00C769EC">
              <w:rPr>
                <w:rFonts w:hAnsi="標楷體" w:cs="Arial" w:hint="eastAsia"/>
                <w:kern w:val="0"/>
                <w:sz w:val="32"/>
                <w:szCs w:val="32"/>
              </w:rPr>
              <w:t>金額</w:t>
            </w:r>
            <w:r w:rsidRPr="00C769EC">
              <w:rPr>
                <w:rFonts w:hAnsi="標楷體" w:cs="Arial"/>
                <w:sz w:val="32"/>
                <w:szCs w:val="32"/>
              </w:rPr>
              <w:t>相近，故以其合併資產</w:t>
            </w:r>
            <w:proofErr w:type="gramStart"/>
            <w:r w:rsidRPr="00C769EC">
              <w:rPr>
                <w:rFonts w:hAnsi="標楷體" w:cs="Arial"/>
                <w:sz w:val="32"/>
                <w:szCs w:val="32"/>
              </w:rPr>
              <w:t>負債表日之帳面</w:t>
            </w:r>
            <w:proofErr w:type="gramEnd"/>
            <w:r w:rsidRPr="00C769EC">
              <w:rPr>
                <w:rFonts w:hAnsi="標楷體" w:cs="Arial" w:hint="eastAsia"/>
                <w:kern w:val="0"/>
                <w:sz w:val="32"/>
                <w:szCs w:val="32"/>
              </w:rPr>
              <w:t>金額</w:t>
            </w:r>
            <w:r w:rsidRPr="00C769EC">
              <w:rPr>
                <w:rFonts w:hAnsi="標楷體" w:cs="Arial"/>
                <w:sz w:val="32"/>
                <w:szCs w:val="32"/>
              </w:rPr>
              <w:t>估計其公允價值。</w:t>
            </w:r>
          </w:p>
        </w:tc>
      </w:tr>
      <w:tr w:rsidR="00B5393B" w:rsidRPr="00C769EC" w:rsidTr="00A37C7D">
        <w:tc>
          <w:tcPr>
            <w:tcW w:w="1260" w:type="dxa"/>
            <w:gridSpan w:val="3"/>
          </w:tcPr>
          <w:p w:rsidR="00B5393B" w:rsidRPr="00C769EC" w:rsidRDefault="00B5393B" w:rsidP="00D54EB6">
            <w:pPr>
              <w:rPr>
                <w:rFonts w:hAnsi="標楷體" w:cs="Arial"/>
                <w:sz w:val="16"/>
                <w:szCs w:val="16"/>
              </w:rPr>
            </w:pPr>
          </w:p>
        </w:tc>
        <w:tc>
          <w:tcPr>
            <w:tcW w:w="9628" w:type="dxa"/>
            <w:gridSpan w:val="9"/>
          </w:tcPr>
          <w:p w:rsidR="00B5393B" w:rsidRPr="00C769EC" w:rsidRDefault="00B5393B" w:rsidP="005A7F9E">
            <w:pPr>
              <w:numPr>
                <w:ilvl w:val="0"/>
                <w:numId w:val="20"/>
              </w:numPr>
              <w:autoSpaceDE w:val="0"/>
              <w:autoSpaceDN w:val="0"/>
              <w:spacing w:before="120" w:after="120"/>
              <w:ind w:left="1520" w:hanging="425"/>
              <w:jc w:val="both"/>
              <w:rPr>
                <w:rFonts w:hAnsi="標楷體" w:cs="Arial"/>
                <w:sz w:val="32"/>
                <w:szCs w:val="32"/>
              </w:rPr>
            </w:pPr>
            <w:r w:rsidRPr="00C769EC">
              <w:rPr>
                <w:rFonts w:hAnsi="標楷體" w:cs="Arial"/>
                <w:sz w:val="32"/>
                <w:szCs w:val="32"/>
              </w:rPr>
              <w:t>持有至到期日金融資產：如有活絡市場之公開報價，則以市場價格為公允價值；若無市場價格可供參考時，則採用評價方法估計或使用交易對手報價。</w:t>
            </w:r>
          </w:p>
        </w:tc>
      </w:tr>
      <w:tr w:rsidR="00B5393B" w:rsidRPr="00C769EC" w:rsidTr="00A37C7D">
        <w:tc>
          <w:tcPr>
            <w:tcW w:w="1260" w:type="dxa"/>
            <w:gridSpan w:val="3"/>
          </w:tcPr>
          <w:p w:rsidR="00B5393B" w:rsidRPr="00C769EC" w:rsidRDefault="00B5393B" w:rsidP="00D54EB6">
            <w:pPr>
              <w:rPr>
                <w:rFonts w:hAnsi="標楷體" w:cs="Arial"/>
                <w:sz w:val="16"/>
                <w:szCs w:val="16"/>
              </w:rPr>
            </w:pPr>
          </w:p>
        </w:tc>
        <w:tc>
          <w:tcPr>
            <w:tcW w:w="9628" w:type="dxa"/>
            <w:gridSpan w:val="9"/>
          </w:tcPr>
          <w:p w:rsidR="00B5393B" w:rsidRPr="00C769EC" w:rsidRDefault="00B5393B" w:rsidP="00B5393B">
            <w:pPr>
              <w:numPr>
                <w:ilvl w:val="0"/>
                <w:numId w:val="20"/>
              </w:numPr>
              <w:autoSpaceDE w:val="0"/>
              <w:autoSpaceDN w:val="0"/>
              <w:spacing w:before="120" w:after="120"/>
              <w:ind w:left="1520" w:hanging="425"/>
              <w:jc w:val="both"/>
              <w:rPr>
                <w:rFonts w:hAnsi="標楷體"/>
                <w:sz w:val="32"/>
                <w:szCs w:val="32"/>
              </w:rPr>
            </w:pPr>
            <w:bookmarkStart w:id="3" w:name="_Ref313370999"/>
            <w:r w:rsidRPr="00C769EC">
              <w:rPr>
                <w:rFonts w:hAnsi="標楷體" w:cs="Arial"/>
                <w:sz w:val="32"/>
                <w:szCs w:val="32"/>
              </w:rPr>
              <w:t>無活絡市場債務商品投資：若有</w:t>
            </w:r>
            <w:proofErr w:type="gramStart"/>
            <w:r w:rsidRPr="00C769EC">
              <w:rPr>
                <w:rFonts w:hAnsi="標楷體" w:cs="Arial"/>
                <w:sz w:val="32"/>
                <w:szCs w:val="32"/>
              </w:rPr>
              <w:t>成交或造市</w:t>
            </w:r>
            <w:proofErr w:type="gramEnd"/>
            <w:r w:rsidRPr="00C769EC">
              <w:rPr>
                <w:rFonts w:hAnsi="標楷體" w:cs="Arial"/>
                <w:sz w:val="32"/>
                <w:szCs w:val="32"/>
              </w:rPr>
              <w:t>者之報價資料者，則以最近成交價格及報價資料作為評估公允價值之基礎。若無市場價值可供參考時，則採用評價方法估計。採用評價方法所使用之估計及假設為現金流量之折現值估計公允價值。</w:t>
            </w:r>
            <w:bookmarkEnd w:id="3"/>
          </w:p>
        </w:tc>
      </w:tr>
      <w:tr w:rsidR="00B5393B" w:rsidRPr="00C769EC" w:rsidTr="00A37C7D">
        <w:tc>
          <w:tcPr>
            <w:tcW w:w="1260" w:type="dxa"/>
            <w:gridSpan w:val="3"/>
          </w:tcPr>
          <w:p w:rsidR="00B5393B" w:rsidRPr="00C769EC" w:rsidRDefault="00B5393B" w:rsidP="004F0F17">
            <w:pPr>
              <w:snapToGrid w:val="0"/>
              <w:rPr>
                <w:rFonts w:hAnsi="標楷體" w:cs="Arial"/>
                <w:sz w:val="16"/>
                <w:szCs w:val="16"/>
              </w:rPr>
            </w:pPr>
            <w:r w:rsidRPr="00C769EC">
              <w:rPr>
                <w:rFonts w:hAnsi="標楷體" w:cs="Arial" w:hint="eastAsia"/>
                <w:sz w:val="16"/>
                <w:szCs w:val="16"/>
              </w:rPr>
              <w:t>IFRS13</w:t>
            </w:r>
            <w:r w:rsidR="004F0F17" w:rsidRPr="00C769EC">
              <w:rPr>
                <w:rFonts w:hAnsi="標楷體" w:cs="Arial" w:hint="eastAsia"/>
                <w:sz w:val="16"/>
                <w:szCs w:val="16"/>
              </w:rPr>
              <w:t>.93(d)</w:t>
            </w:r>
          </w:p>
        </w:tc>
        <w:tc>
          <w:tcPr>
            <w:tcW w:w="9628" w:type="dxa"/>
            <w:gridSpan w:val="9"/>
          </w:tcPr>
          <w:p w:rsidR="00B5393B" w:rsidRPr="00C769EC" w:rsidRDefault="00B5393B" w:rsidP="00A30B39">
            <w:pPr>
              <w:numPr>
                <w:ilvl w:val="1"/>
                <w:numId w:val="17"/>
              </w:numPr>
              <w:tabs>
                <w:tab w:val="clear" w:pos="992"/>
              </w:tabs>
              <w:spacing w:before="120" w:after="120"/>
              <w:ind w:left="1095"/>
              <w:outlineLvl w:val="2"/>
              <w:rPr>
                <w:rFonts w:hAnsi="標楷體" w:cs="Arial"/>
                <w:sz w:val="32"/>
                <w:szCs w:val="32"/>
              </w:rPr>
            </w:pPr>
            <w:r w:rsidRPr="00C769EC">
              <w:rPr>
                <w:rFonts w:hAnsi="標楷體" w:cs="Arial"/>
                <w:sz w:val="32"/>
                <w:szCs w:val="32"/>
              </w:rPr>
              <w:t>以公允價值衡量之</w:t>
            </w:r>
            <w:r w:rsidRPr="00C769EC">
              <w:rPr>
                <w:rFonts w:hAnsi="標楷體" w:cs="Arial" w:hint="eastAsia"/>
                <w:sz w:val="32"/>
                <w:szCs w:val="32"/>
              </w:rPr>
              <w:t>工具</w:t>
            </w:r>
            <w:r w:rsidR="00A30B39" w:rsidRPr="00C769EC">
              <w:rPr>
                <w:rFonts w:hAnsi="標楷體" w:cs="Arial" w:hint="eastAsia"/>
                <w:sz w:val="32"/>
                <w:szCs w:val="32"/>
              </w:rPr>
              <w:t>的</w:t>
            </w:r>
            <w:r w:rsidRPr="00C769EC">
              <w:rPr>
                <w:rFonts w:hAnsi="標楷體" w:cs="Arial"/>
                <w:sz w:val="32"/>
                <w:szCs w:val="32"/>
              </w:rPr>
              <w:t>公允價值</w:t>
            </w:r>
            <w:r w:rsidRPr="00C769EC">
              <w:rPr>
                <w:rFonts w:hAnsi="標楷體" w:cs="Arial" w:hint="eastAsia"/>
                <w:sz w:val="32"/>
                <w:szCs w:val="32"/>
              </w:rPr>
              <w:t>評價技術</w:t>
            </w:r>
          </w:p>
        </w:tc>
      </w:tr>
      <w:tr w:rsidR="00B5393B" w:rsidRPr="00C769EC" w:rsidTr="00A37C7D">
        <w:tc>
          <w:tcPr>
            <w:tcW w:w="1260" w:type="dxa"/>
            <w:gridSpan w:val="3"/>
          </w:tcPr>
          <w:p w:rsidR="00B5393B" w:rsidRPr="00C769EC" w:rsidRDefault="00B5393B" w:rsidP="00D54EB6">
            <w:pPr>
              <w:snapToGrid w:val="0"/>
              <w:spacing w:before="120" w:after="120"/>
              <w:rPr>
                <w:rFonts w:hAnsi="標楷體" w:cs="Arial"/>
                <w:sz w:val="16"/>
                <w:szCs w:val="16"/>
              </w:rPr>
            </w:pPr>
          </w:p>
        </w:tc>
        <w:tc>
          <w:tcPr>
            <w:tcW w:w="9628" w:type="dxa"/>
            <w:gridSpan w:val="9"/>
          </w:tcPr>
          <w:p w:rsidR="00B5393B" w:rsidRPr="00C769EC" w:rsidRDefault="00B5393B" w:rsidP="00A37C7D">
            <w:pPr>
              <w:autoSpaceDE w:val="0"/>
              <w:autoSpaceDN w:val="0"/>
              <w:spacing w:before="120" w:after="120"/>
              <w:ind w:left="1095"/>
              <w:jc w:val="both"/>
              <w:rPr>
                <w:rFonts w:hAnsi="標楷體" w:cs="Arial"/>
                <w:sz w:val="32"/>
                <w:szCs w:val="32"/>
              </w:rPr>
            </w:pPr>
            <w:r w:rsidRPr="00C769EC">
              <w:rPr>
                <w:rFonts w:hAnsi="標楷體" w:cs="Arial"/>
                <w:sz w:val="32"/>
                <w:szCs w:val="32"/>
              </w:rPr>
              <w:t>金融工具如有活絡市場公開報價時，則以活絡市場之公開報價為公允價值。主要交易所</w:t>
            </w:r>
            <w:r w:rsidRPr="00C769EC">
              <w:rPr>
                <w:rFonts w:hAnsi="標楷體"/>
                <w:sz w:val="32"/>
                <w:szCs w:val="32"/>
              </w:rPr>
              <w:t>及經判斷為熱門</w:t>
            </w:r>
            <w:proofErr w:type="gramStart"/>
            <w:r w:rsidRPr="00C769EC">
              <w:rPr>
                <w:rFonts w:hAnsi="標楷體"/>
                <w:sz w:val="32"/>
                <w:szCs w:val="32"/>
              </w:rPr>
              <w:t>券</w:t>
            </w:r>
            <w:proofErr w:type="gramEnd"/>
            <w:r w:rsidRPr="00C769EC">
              <w:rPr>
                <w:rFonts w:hAnsi="標楷體"/>
                <w:sz w:val="32"/>
                <w:szCs w:val="32"/>
              </w:rPr>
              <w:t>之中央政府債券櫃台買賣中心公告之市價，皆屬上市(櫃)權益工具及有活絡市場公開報價之債務工具公允價值之基礎。</w:t>
            </w:r>
          </w:p>
        </w:tc>
      </w:tr>
      <w:tr w:rsidR="00B5393B" w:rsidRPr="00C769EC" w:rsidTr="00A37C7D">
        <w:tc>
          <w:tcPr>
            <w:tcW w:w="1260" w:type="dxa"/>
            <w:gridSpan w:val="3"/>
          </w:tcPr>
          <w:p w:rsidR="00B5393B" w:rsidRPr="00C769EC" w:rsidRDefault="00B5393B" w:rsidP="00D54EB6">
            <w:pPr>
              <w:snapToGrid w:val="0"/>
              <w:spacing w:before="120" w:after="120"/>
              <w:rPr>
                <w:rFonts w:hAnsi="標楷體" w:cs="Arial"/>
                <w:sz w:val="16"/>
                <w:szCs w:val="16"/>
              </w:rPr>
            </w:pPr>
          </w:p>
        </w:tc>
        <w:tc>
          <w:tcPr>
            <w:tcW w:w="9628" w:type="dxa"/>
            <w:gridSpan w:val="9"/>
          </w:tcPr>
          <w:p w:rsidR="00B5393B" w:rsidRPr="00C769EC" w:rsidRDefault="00B5393B" w:rsidP="00A37C7D">
            <w:pPr>
              <w:autoSpaceDE w:val="0"/>
              <w:autoSpaceDN w:val="0"/>
              <w:spacing w:before="120" w:after="120"/>
              <w:ind w:left="1095"/>
              <w:jc w:val="both"/>
              <w:rPr>
                <w:rFonts w:hAnsi="標楷體" w:cs="Arial"/>
                <w:sz w:val="32"/>
                <w:szCs w:val="32"/>
              </w:rPr>
            </w:pPr>
            <w:r w:rsidRPr="00C769EC">
              <w:rPr>
                <w:rFonts w:hAnsi="標楷體" w:cs="Arial"/>
                <w:sz w:val="32"/>
                <w:szCs w:val="32"/>
              </w:rPr>
              <w:t>若能及時且經常自交易所、經紀商、承銷商、產業公會、訂價服務機構或主管機關取得金融工具之公開報價，且該價格代表實際且經常發生之公平市場交易者，則該金融工具有活絡市場公開報價。如上述條件並未達成，則該市場視為不活絡。一般而言，買賣</w:t>
            </w:r>
            <w:proofErr w:type="gramStart"/>
            <w:r w:rsidRPr="00C769EC">
              <w:rPr>
                <w:rFonts w:hAnsi="標楷體" w:cs="Arial"/>
                <w:sz w:val="32"/>
                <w:szCs w:val="32"/>
              </w:rPr>
              <w:t>價差甚大</w:t>
            </w:r>
            <w:proofErr w:type="gramEnd"/>
            <w:r w:rsidRPr="00C769EC">
              <w:rPr>
                <w:rFonts w:hAnsi="標楷體" w:cs="Arial"/>
                <w:sz w:val="32"/>
                <w:szCs w:val="32"/>
              </w:rPr>
              <w:t>、買賣價差顯著增加或交易量甚少，皆為不活絡市場之指標。</w:t>
            </w:r>
          </w:p>
        </w:tc>
      </w:tr>
      <w:tr w:rsidR="00B5393B" w:rsidRPr="00C769EC" w:rsidTr="00A37C7D">
        <w:tc>
          <w:tcPr>
            <w:tcW w:w="1260" w:type="dxa"/>
            <w:gridSpan w:val="3"/>
          </w:tcPr>
          <w:p w:rsidR="00B5393B" w:rsidRPr="00C769EC" w:rsidRDefault="00B5393B" w:rsidP="00D54EB6">
            <w:pPr>
              <w:rPr>
                <w:rFonts w:hAnsi="標楷體" w:cs="Arial"/>
                <w:sz w:val="16"/>
                <w:szCs w:val="16"/>
              </w:rPr>
            </w:pPr>
          </w:p>
        </w:tc>
        <w:tc>
          <w:tcPr>
            <w:tcW w:w="9628" w:type="dxa"/>
            <w:gridSpan w:val="9"/>
          </w:tcPr>
          <w:p w:rsidR="00B5393B" w:rsidRPr="00C769EC" w:rsidRDefault="00072156" w:rsidP="00A37C7D">
            <w:pPr>
              <w:autoSpaceDE w:val="0"/>
              <w:autoSpaceDN w:val="0"/>
              <w:spacing w:before="120" w:after="120"/>
              <w:ind w:left="1095"/>
              <w:jc w:val="both"/>
              <w:rPr>
                <w:rFonts w:hAnsi="標楷體"/>
                <w:sz w:val="32"/>
                <w:szCs w:val="32"/>
              </w:rPr>
            </w:pPr>
            <w:r w:rsidRPr="00C769EC">
              <w:rPr>
                <w:rFonts w:hAnsi="標楷體" w:cs="Arial"/>
                <w:sz w:val="32"/>
                <w:szCs w:val="32"/>
              </w:rPr>
              <w:t>本集團</w:t>
            </w:r>
            <w:r w:rsidR="00B5393B" w:rsidRPr="00C769EC">
              <w:rPr>
                <w:rFonts w:hAnsi="標楷體" w:cs="Arial"/>
                <w:sz w:val="32"/>
                <w:szCs w:val="32"/>
              </w:rPr>
              <w:t>持有之金融工具如屬有活絡市場者，其</w:t>
            </w:r>
            <w:r w:rsidR="00B5393B" w:rsidRPr="00C769EC">
              <w:rPr>
                <w:rFonts w:hAnsi="標楷體"/>
                <w:sz w:val="32"/>
                <w:szCs w:val="32"/>
              </w:rPr>
              <w:t>公允價值依類別及屬性列示如下：</w:t>
            </w:r>
          </w:p>
          <w:p w:rsidR="00676979" w:rsidRPr="00FB3E46" w:rsidRDefault="00676979" w:rsidP="00A37C7D">
            <w:pPr>
              <w:autoSpaceDE w:val="0"/>
              <w:autoSpaceDN w:val="0"/>
              <w:spacing w:before="120" w:after="120"/>
              <w:ind w:left="1095"/>
              <w:jc w:val="both"/>
              <w:rPr>
                <w:rFonts w:hAnsi="標楷體"/>
                <w:sz w:val="20"/>
              </w:rPr>
            </w:pPr>
            <w:r w:rsidRPr="00FB3E46">
              <w:rPr>
                <w:rFonts w:hAnsi="標楷體" w:cs="Arial"/>
                <w:i/>
                <w:color w:val="0070C0"/>
                <w:sz w:val="20"/>
              </w:rPr>
              <w:t>公司得根據實際情況依</w:t>
            </w:r>
            <w:r w:rsidRPr="00FB3E46">
              <w:rPr>
                <w:rFonts w:hAnsi="標楷體" w:cs="Arial" w:hint="eastAsia"/>
                <w:i/>
                <w:color w:val="0070C0"/>
                <w:sz w:val="20"/>
              </w:rPr>
              <w:t>工具</w:t>
            </w:r>
            <w:r w:rsidRPr="00FB3E46">
              <w:rPr>
                <w:rFonts w:hAnsi="標楷體" w:cs="Arial"/>
                <w:i/>
                <w:color w:val="0070C0"/>
                <w:sz w:val="20"/>
              </w:rPr>
              <w:t>之類別或屬性予以分類說明。</w:t>
            </w:r>
          </w:p>
        </w:tc>
      </w:tr>
      <w:tr w:rsidR="00B5393B" w:rsidRPr="00C769EC" w:rsidTr="00A37C7D">
        <w:tc>
          <w:tcPr>
            <w:tcW w:w="1260" w:type="dxa"/>
            <w:gridSpan w:val="3"/>
          </w:tcPr>
          <w:p w:rsidR="00B5393B" w:rsidRPr="00C769EC" w:rsidRDefault="00B5393B" w:rsidP="00D54EB6">
            <w:pPr>
              <w:snapToGrid w:val="0"/>
              <w:spacing w:before="120" w:after="120"/>
              <w:rPr>
                <w:rFonts w:hAnsi="標楷體" w:cs="Arial"/>
                <w:sz w:val="16"/>
                <w:szCs w:val="16"/>
              </w:rPr>
            </w:pPr>
          </w:p>
        </w:tc>
        <w:tc>
          <w:tcPr>
            <w:tcW w:w="9628" w:type="dxa"/>
            <w:gridSpan w:val="9"/>
          </w:tcPr>
          <w:p w:rsidR="00B5393B" w:rsidRPr="00C769EC" w:rsidRDefault="00B5393B" w:rsidP="00A37C7D">
            <w:pPr>
              <w:autoSpaceDE w:val="0"/>
              <w:autoSpaceDN w:val="0"/>
              <w:spacing w:before="120" w:after="120"/>
              <w:ind w:left="1095"/>
              <w:jc w:val="both"/>
              <w:rPr>
                <w:rFonts w:hAnsi="標楷體" w:cs="Arial"/>
                <w:sz w:val="32"/>
                <w:szCs w:val="32"/>
              </w:rPr>
            </w:pPr>
            <w:r w:rsidRPr="00C769EC">
              <w:rPr>
                <w:rFonts w:hAnsi="標楷體" w:cs="Arial"/>
                <w:sz w:val="32"/>
                <w:szCs w:val="32"/>
              </w:rPr>
              <w:t>除上述有活絡市場之金融工具外，其餘金融工具之公允價值係以評價技術或參考交易對手報價取得。透過評價技術所取得之公允價值可參照其他實質上條件及特性相似之金融工具之現時公允價值、現金流量</w:t>
            </w:r>
            <w:proofErr w:type="gramStart"/>
            <w:r w:rsidRPr="00C769EC">
              <w:rPr>
                <w:rFonts w:hAnsi="標楷體" w:cs="Arial"/>
                <w:sz w:val="32"/>
                <w:szCs w:val="32"/>
              </w:rPr>
              <w:t>折現法或</w:t>
            </w:r>
            <w:proofErr w:type="gramEnd"/>
            <w:r w:rsidRPr="00C769EC">
              <w:rPr>
                <w:rFonts w:hAnsi="標楷體" w:cs="Arial"/>
                <w:sz w:val="32"/>
                <w:szCs w:val="32"/>
              </w:rPr>
              <w:t>以其他評價技術，包括</w:t>
            </w:r>
            <w:r w:rsidRPr="00C769EC">
              <w:rPr>
                <w:rFonts w:hAnsi="標楷體" w:cs="Arial"/>
                <w:sz w:val="32"/>
                <w:szCs w:val="32"/>
              </w:rPr>
              <w:lastRenderedPageBreak/>
              <w:t>以合併資產</w:t>
            </w:r>
            <w:proofErr w:type="gramStart"/>
            <w:r w:rsidRPr="00C769EC">
              <w:rPr>
                <w:rFonts w:hAnsi="標楷體" w:cs="Arial"/>
                <w:sz w:val="32"/>
                <w:szCs w:val="32"/>
              </w:rPr>
              <w:t>負債表日可</w:t>
            </w:r>
            <w:proofErr w:type="gramEnd"/>
            <w:r w:rsidRPr="00C769EC">
              <w:rPr>
                <w:rFonts w:hAnsi="標楷體" w:cs="Arial"/>
                <w:sz w:val="32"/>
                <w:szCs w:val="32"/>
              </w:rPr>
              <w:t>取得之市場資訊運用模型計算而得(例如櫃買中心參考</w:t>
            </w:r>
            <w:proofErr w:type="gramStart"/>
            <w:r w:rsidRPr="00C769EC">
              <w:rPr>
                <w:rFonts w:hAnsi="標楷體" w:cs="Arial"/>
                <w:sz w:val="32"/>
                <w:szCs w:val="32"/>
              </w:rPr>
              <w:t>殖</w:t>
            </w:r>
            <w:proofErr w:type="gramEnd"/>
            <w:r w:rsidRPr="00C769EC">
              <w:rPr>
                <w:rFonts w:hAnsi="標楷體" w:cs="Arial"/>
                <w:sz w:val="32"/>
                <w:szCs w:val="32"/>
              </w:rPr>
              <w:t>利率曲線、Reuters商業本票利率平均報價)。</w:t>
            </w:r>
          </w:p>
        </w:tc>
      </w:tr>
      <w:tr w:rsidR="00B5393B" w:rsidRPr="00C769EC" w:rsidTr="00A37C7D">
        <w:tc>
          <w:tcPr>
            <w:tcW w:w="1260" w:type="dxa"/>
            <w:gridSpan w:val="3"/>
          </w:tcPr>
          <w:p w:rsidR="00B5393B" w:rsidRPr="00C769EC" w:rsidRDefault="00B5393B" w:rsidP="00D54EB6">
            <w:pPr>
              <w:rPr>
                <w:rFonts w:hAnsi="標楷體" w:cs="Arial"/>
                <w:sz w:val="16"/>
                <w:szCs w:val="16"/>
              </w:rPr>
            </w:pPr>
          </w:p>
        </w:tc>
        <w:tc>
          <w:tcPr>
            <w:tcW w:w="9628" w:type="dxa"/>
            <w:gridSpan w:val="9"/>
          </w:tcPr>
          <w:p w:rsidR="00B5393B" w:rsidRPr="00C769EC" w:rsidRDefault="00072156" w:rsidP="00A37C7D">
            <w:pPr>
              <w:autoSpaceDE w:val="0"/>
              <w:autoSpaceDN w:val="0"/>
              <w:spacing w:before="120" w:after="120"/>
              <w:ind w:left="1095"/>
              <w:jc w:val="both"/>
              <w:rPr>
                <w:rFonts w:hAnsi="標楷體"/>
                <w:sz w:val="32"/>
                <w:szCs w:val="32"/>
              </w:rPr>
            </w:pPr>
            <w:r w:rsidRPr="00C769EC">
              <w:rPr>
                <w:rFonts w:hAnsi="標楷體" w:cs="Arial"/>
                <w:sz w:val="32"/>
                <w:szCs w:val="32"/>
              </w:rPr>
              <w:t>本集團</w:t>
            </w:r>
            <w:r w:rsidR="00B5393B" w:rsidRPr="00C769EC">
              <w:rPr>
                <w:rFonts w:hAnsi="標楷體" w:cs="Arial"/>
                <w:sz w:val="32"/>
                <w:szCs w:val="32"/>
              </w:rPr>
              <w:t>持有之金融工具如屬無活絡市場者，其</w:t>
            </w:r>
            <w:r w:rsidR="00B5393B" w:rsidRPr="00C769EC">
              <w:rPr>
                <w:rFonts w:hAnsi="標楷體"/>
                <w:sz w:val="32"/>
                <w:szCs w:val="32"/>
              </w:rPr>
              <w:t>公允價值依類別及屬性列示如下：</w:t>
            </w:r>
          </w:p>
          <w:p w:rsidR="00B5393B" w:rsidRPr="00FB3E46" w:rsidRDefault="00676979" w:rsidP="00A37C7D">
            <w:pPr>
              <w:autoSpaceDE w:val="0"/>
              <w:autoSpaceDN w:val="0"/>
              <w:spacing w:before="120" w:after="120"/>
              <w:ind w:left="1095"/>
              <w:jc w:val="both"/>
              <w:rPr>
                <w:rFonts w:hAnsi="標楷體" w:cs="Arial"/>
                <w:b/>
                <w:i/>
                <w:color w:val="0070C0"/>
                <w:sz w:val="20"/>
              </w:rPr>
            </w:pPr>
            <w:r w:rsidRPr="00FB3E46">
              <w:rPr>
                <w:rFonts w:hAnsi="標楷體" w:cs="Arial"/>
                <w:i/>
                <w:color w:val="0070C0"/>
                <w:sz w:val="20"/>
              </w:rPr>
              <w:t>公司得根據實際情況依</w:t>
            </w:r>
            <w:r w:rsidRPr="00FB3E46">
              <w:rPr>
                <w:rFonts w:hAnsi="標楷體" w:cs="Arial" w:hint="eastAsia"/>
                <w:i/>
                <w:color w:val="0070C0"/>
                <w:sz w:val="20"/>
              </w:rPr>
              <w:t>工具</w:t>
            </w:r>
            <w:r w:rsidRPr="00FB3E46">
              <w:rPr>
                <w:rFonts w:hAnsi="標楷體" w:cs="Arial"/>
                <w:i/>
                <w:color w:val="0070C0"/>
                <w:sz w:val="20"/>
              </w:rPr>
              <w:t>之類別或屬性予以分類說明。</w:t>
            </w:r>
          </w:p>
        </w:tc>
      </w:tr>
      <w:tr w:rsidR="00B5393B" w:rsidRPr="00C769EC" w:rsidTr="00A37C7D">
        <w:tc>
          <w:tcPr>
            <w:tcW w:w="1260" w:type="dxa"/>
            <w:gridSpan w:val="3"/>
          </w:tcPr>
          <w:p w:rsidR="00B5393B" w:rsidRPr="00C769EC" w:rsidRDefault="00B5393B" w:rsidP="00D54EB6">
            <w:pPr>
              <w:snapToGrid w:val="0"/>
              <w:spacing w:before="120" w:after="120"/>
              <w:rPr>
                <w:rFonts w:hAnsi="標楷體" w:cs="Arial"/>
                <w:sz w:val="16"/>
                <w:szCs w:val="16"/>
              </w:rPr>
            </w:pPr>
          </w:p>
        </w:tc>
        <w:tc>
          <w:tcPr>
            <w:tcW w:w="9628" w:type="dxa"/>
            <w:gridSpan w:val="9"/>
          </w:tcPr>
          <w:p w:rsidR="00B5393B" w:rsidRPr="00C769EC" w:rsidRDefault="00B5393B" w:rsidP="00A37C7D">
            <w:pPr>
              <w:autoSpaceDE w:val="0"/>
              <w:autoSpaceDN w:val="0"/>
              <w:spacing w:before="120" w:after="120"/>
              <w:ind w:left="1095"/>
              <w:jc w:val="both"/>
              <w:rPr>
                <w:rFonts w:hAnsi="標楷體" w:cs="Arial"/>
                <w:sz w:val="32"/>
                <w:szCs w:val="32"/>
              </w:rPr>
            </w:pPr>
            <w:r w:rsidRPr="00C769EC">
              <w:rPr>
                <w:rFonts w:hAnsi="標楷體" w:cs="Arial"/>
                <w:sz w:val="32"/>
                <w:szCs w:val="32"/>
              </w:rPr>
              <w:t>衍生金融工具之評價係根據廣為市場使用者所接受之評價模型，例如</w:t>
            </w:r>
            <w:proofErr w:type="gramStart"/>
            <w:r w:rsidRPr="00C769EC">
              <w:rPr>
                <w:rFonts w:hAnsi="標楷體" w:cs="Arial"/>
                <w:sz w:val="32"/>
                <w:szCs w:val="32"/>
              </w:rPr>
              <w:t>折現法及</w:t>
            </w:r>
            <w:proofErr w:type="gramEnd"/>
            <w:r w:rsidRPr="00C769EC">
              <w:rPr>
                <w:rFonts w:hAnsi="標楷體" w:cs="Arial"/>
                <w:sz w:val="32"/>
                <w:szCs w:val="32"/>
              </w:rPr>
              <w:t>選擇權定價模型。遠期外匯合約通常係根據目前之遠期匯率評價。結構式利率衍生金融工具係依適當之選擇權定價模型(例如Black-Scholes 模型)或其他評價方法，例如蒙地卡羅模擬(Monte Carlo simulation)。</w:t>
            </w:r>
          </w:p>
        </w:tc>
      </w:tr>
      <w:tr w:rsidR="00B5393B" w:rsidRPr="00C769EC" w:rsidTr="00A37C7D">
        <w:tc>
          <w:tcPr>
            <w:tcW w:w="1260" w:type="dxa"/>
            <w:gridSpan w:val="3"/>
          </w:tcPr>
          <w:p w:rsidR="00B5393B" w:rsidRPr="00C769EC" w:rsidRDefault="00B5393B" w:rsidP="00D54EB6">
            <w:pPr>
              <w:snapToGrid w:val="0"/>
              <w:spacing w:before="120" w:after="120"/>
              <w:rPr>
                <w:rFonts w:hAnsi="標楷體" w:cs="Arial"/>
                <w:sz w:val="16"/>
                <w:szCs w:val="16"/>
              </w:rPr>
            </w:pPr>
          </w:p>
        </w:tc>
        <w:tc>
          <w:tcPr>
            <w:tcW w:w="9628" w:type="dxa"/>
            <w:gridSpan w:val="9"/>
          </w:tcPr>
          <w:p w:rsidR="00B5393B" w:rsidRPr="00C769EC" w:rsidRDefault="00072156" w:rsidP="00A37C7D">
            <w:pPr>
              <w:autoSpaceDE w:val="0"/>
              <w:autoSpaceDN w:val="0"/>
              <w:spacing w:before="120" w:after="120"/>
              <w:ind w:left="1095"/>
              <w:jc w:val="both"/>
              <w:rPr>
                <w:rFonts w:hAnsi="標楷體" w:cs="Arial"/>
                <w:sz w:val="32"/>
                <w:szCs w:val="32"/>
              </w:rPr>
            </w:pPr>
            <w:r w:rsidRPr="00C769EC">
              <w:rPr>
                <w:rFonts w:hAnsi="標楷體" w:cs="Arial" w:hint="eastAsia"/>
                <w:sz w:val="32"/>
                <w:szCs w:val="32"/>
              </w:rPr>
              <w:t>本集團</w:t>
            </w:r>
            <w:r w:rsidR="00B5393B" w:rsidRPr="00C769EC">
              <w:rPr>
                <w:rFonts w:hAnsi="標楷體" w:cs="Arial" w:hint="eastAsia"/>
                <w:sz w:val="32"/>
                <w:szCs w:val="32"/>
              </w:rPr>
              <w:t>之待處</w:t>
            </w:r>
            <w:r w:rsidR="00037814" w:rsidRPr="00C769EC">
              <w:rPr>
                <w:rFonts w:hAnsi="標楷體" w:cs="Arial" w:hint="eastAsia"/>
                <w:sz w:val="32"/>
                <w:szCs w:val="32"/>
              </w:rPr>
              <w:t>分資產係採用市場法</w:t>
            </w:r>
            <w:r w:rsidR="00037814" w:rsidRPr="00C769EC">
              <w:rPr>
                <w:rFonts w:hAnsi="標楷體" w:cs="Arial"/>
                <w:sz w:val="32"/>
                <w:szCs w:val="32"/>
              </w:rPr>
              <w:t>(</w:t>
            </w:r>
            <w:r w:rsidR="006660BF" w:rsidRPr="00C769EC">
              <w:rPr>
                <w:rFonts w:hAnsi="標楷體" w:cs="Arial" w:hint="eastAsia"/>
                <w:sz w:val="32"/>
                <w:szCs w:val="32"/>
              </w:rPr>
              <w:t>本益</w:t>
            </w:r>
            <w:r w:rsidR="00037814" w:rsidRPr="00C769EC">
              <w:rPr>
                <w:rFonts w:hAnsi="標楷體" w:cs="Arial" w:hint="eastAsia"/>
                <w:sz w:val="32"/>
                <w:szCs w:val="32"/>
              </w:rPr>
              <w:t>比</w:t>
            </w:r>
            <w:r w:rsidR="00037814" w:rsidRPr="00C769EC">
              <w:rPr>
                <w:rFonts w:hAnsi="標楷體" w:cs="Arial"/>
                <w:sz w:val="32"/>
                <w:szCs w:val="32"/>
              </w:rPr>
              <w:t>,P/</w:t>
            </w:r>
            <w:r w:rsidR="006660BF" w:rsidRPr="00C769EC">
              <w:rPr>
                <w:rFonts w:hAnsi="標楷體" w:cs="Arial" w:hint="eastAsia"/>
                <w:sz w:val="32"/>
                <w:szCs w:val="32"/>
              </w:rPr>
              <w:t>E</w:t>
            </w:r>
            <w:r w:rsidR="00037814" w:rsidRPr="00C769EC">
              <w:rPr>
                <w:rFonts w:hAnsi="標楷體" w:cs="Arial"/>
                <w:sz w:val="32"/>
                <w:szCs w:val="32"/>
              </w:rPr>
              <w:t xml:space="preserve"> ratio)</w:t>
            </w:r>
            <w:r w:rsidR="00037814" w:rsidRPr="00C769EC">
              <w:rPr>
                <w:rFonts w:hAnsi="標楷體" w:cs="Arial" w:hint="eastAsia"/>
                <w:sz w:val="32"/>
                <w:szCs w:val="32"/>
              </w:rPr>
              <w:t>之評價技術</w:t>
            </w:r>
            <w:r w:rsidR="00B5393B" w:rsidRPr="00C769EC">
              <w:rPr>
                <w:rFonts w:hAnsi="標楷體" w:cs="Arial" w:hint="eastAsia"/>
                <w:sz w:val="32"/>
                <w:szCs w:val="32"/>
              </w:rPr>
              <w:t>，以市場上最近相同或類似交易之</w:t>
            </w:r>
            <w:r w:rsidR="006660BF" w:rsidRPr="00C769EC">
              <w:rPr>
                <w:rFonts w:hAnsi="標楷體" w:cs="Arial" w:hint="eastAsia"/>
                <w:sz w:val="32"/>
                <w:szCs w:val="32"/>
              </w:rPr>
              <w:t>本益</w:t>
            </w:r>
            <w:r w:rsidR="00037814" w:rsidRPr="00C769EC">
              <w:rPr>
                <w:rFonts w:hAnsi="標楷體" w:cs="Arial" w:hint="eastAsia"/>
                <w:sz w:val="32"/>
                <w:szCs w:val="32"/>
              </w:rPr>
              <w:t>比</w:t>
            </w:r>
            <w:r w:rsidR="00B5393B" w:rsidRPr="00C769EC">
              <w:rPr>
                <w:rFonts w:hAnsi="標楷體" w:cs="Arial" w:hint="eastAsia"/>
                <w:sz w:val="32"/>
                <w:szCs w:val="32"/>
              </w:rPr>
              <w:t>作為可觀察輸入值，推算處分群組之公允價值。</w:t>
            </w:r>
          </w:p>
        </w:tc>
      </w:tr>
      <w:tr w:rsidR="00B5393B" w:rsidRPr="00C769EC" w:rsidTr="00A37C7D">
        <w:tc>
          <w:tcPr>
            <w:tcW w:w="1260" w:type="dxa"/>
            <w:gridSpan w:val="3"/>
          </w:tcPr>
          <w:p w:rsidR="00B5393B" w:rsidRPr="00C769EC" w:rsidRDefault="00B5393B" w:rsidP="00D54EB6">
            <w:pPr>
              <w:snapToGrid w:val="0"/>
              <w:spacing w:before="120" w:after="120"/>
              <w:rPr>
                <w:rFonts w:hAnsi="標楷體" w:cs="Arial"/>
                <w:sz w:val="16"/>
                <w:szCs w:val="16"/>
              </w:rPr>
            </w:pPr>
          </w:p>
        </w:tc>
        <w:tc>
          <w:tcPr>
            <w:tcW w:w="9628" w:type="dxa"/>
            <w:gridSpan w:val="9"/>
          </w:tcPr>
          <w:p w:rsidR="00B5393B" w:rsidRPr="00C769EC" w:rsidRDefault="00072156" w:rsidP="00A37C7D">
            <w:pPr>
              <w:autoSpaceDE w:val="0"/>
              <w:autoSpaceDN w:val="0"/>
              <w:spacing w:before="120" w:after="120"/>
              <w:ind w:left="1095"/>
              <w:jc w:val="both"/>
              <w:rPr>
                <w:rFonts w:hAnsi="標楷體" w:cs="Arial"/>
                <w:sz w:val="32"/>
                <w:szCs w:val="32"/>
              </w:rPr>
            </w:pPr>
            <w:r w:rsidRPr="00C769EC">
              <w:rPr>
                <w:rFonts w:hAnsi="標楷體" w:cs="Arial" w:hint="eastAsia"/>
                <w:sz w:val="32"/>
                <w:szCs w:val="32"/>
              </w:rPr>
              <w:t>本集團</w:t>
            </w:r>
            <w:proofErr w:type="gramStart"/>
            <w:r w:rsidR="00B86461" w:rsidRPr="00C769EC">
              <w:rPr>
                <w:rFonts w:hAnsi="標楷體" w:cs="Arial" w:hint="eastAsia"/>
                <w:sz w:val="32"/>
                <w:szCs w:val="32"/>
              </w:rPr>
              <w:t>採</w:t>
            </w:r>
            <w:proofErr w:type="gramEnd"/>
            <w:r w:rsidR="00B86461" w:rsidRPr="00C769EC">
              <w:rPr>
                <w:rFonts w:hAnsi="標楷體" w:cs="Arial" w:hint="eastAsia"/>
                <w:sz w:val="32"/>
                <w:szCs w:val="32"/>
              </w:rPr>
              <w:t>公允價值衡量之</w:t>
            </w:r>
            <w:r w:rsidR="00B5393B" w:rsidRPr="00C769EC">
              <w:rPr>
                <w:rFonts w:hAnsi="標楷體" w:cs="Arial" w:hint="eastAsia"/>
                <w:sz w:val="32"/>
                <w:szCs w:val="32"/>
              </w:rPr>
              <w:t>投資性不動產</w:t>
            </w:r>
            <w:r w:rsidR="00B86461" w:rsidRPr="00C769EC">
              <w:rPr>
                <w:rFonts w:hAnsi="標楷體" w:cs="Arial" w:hint="eastAsia"/>
                <w:sz w:val="32"/>
                <w:szCs w:val="32"/>
              </w:rPr>
              <w:t>的</w:t>
            </w:r>
            <w:r w:rsidR="00B5393B" w:rsidRPr="00C769EC">
              <w:rPr>
                <w:rFonts w:hAnsi="標楷體" w:cs="Arial" w:hint="eastAsia"/>
                <w:sz w:val="32"/>
                <w:szCs w:val="32"/>
              </w:rPr>
              <w:t>公允價值評價技術係依</w:t>
            </w:r>
            <w:r w:rsidR="001739F4" w:rsidRPr="00C769EC">
              <w:rPr>
                <w:rFonts w:hAnsi="標楷體" w:cs="Arial" w:hint="eastAsia"/>
                <w:sz w:val="32"/>
                <w:szCs w:val="32"/>
              </w:rPr>
              <w:t>證券發行人</w:t>
            </w:r>
            <w:r w:rsidR="00B5393B" w:rsidRPr="00C769EC">
              <w:rPr>
                <w:rFonts w:hAnsi="標楷體" w:cs="Arial" w:hint="eastAsia"/>
                <w:sz w:val="32"/>
                <w:szCs w:val="32"/>
              </w:rPr>
              <w:t>財務報告編製準則規定，以自行估價方式</w:t>
            </w:r>
            <w:proofErr w:type="gramStart"/>
            <w:r w:rsidR="00B5393B" w:rsidRPr="00C769EC">
              <w:rPr>
                <w:rFonts w:hAnsi="標楷體" w:cs="Arial" w:hint="eastAsia"/>
                <w:sz w:val="32"/>
                <w:szCs w:val="32"/>
              </w:rPr>
              <w:t>採</w:t>
            </w:r>
            <w:proofErr w:type="gramEnd"/>
            <w:r w:rsidR="00B5393B" w:rsidRPr="00C769EC">
              <w:rPr>
                <w:rFonts w:hAnsi="標楷體" w:cs="Arial" w:hint="eastAsia"/>
                <w:sz w:val="32"/>
                <w:szCs w:val="32"/>
              </w:rPr>
              <w:t>收益法計算。相關之參數假設及輸入值資訊如下：</w:t>
            </w:r>
          </w:p>
          <w:p w:rsidR="00B5393B" w:rsidRPr="00C769EC" w:rsidRDefault="00B5393B" w:rsidP="00A37C7D">
            <w:pPr>
              <w:pStyle w:val="afb"/>
              <w:numPr>
                <w:ilvl w:val="0"/>
                <w:numId w:val="25"/>
              </w:numPr>
              <w:autoSpaceDE w:val="0"/>
              <w:autoSpaceDN w:val="0"/>
              <w:spacing w:before="120" w:after="120"/>
              <w:ind w:leftChars="0"/>
              <w:jc w:val="both"/>
              <w:rPr>
                <w:rFonts w:hAnsi="標楷體" w:cs="Arial"/>
                <w:sz w:val="32"/>
                <w:szCs w:val="32"/>
              </w:rPr>
            </w:pPr>
            <w:r w:rsidRPr="00C769EC">
              <w:rPr>
                <w:rFonts w:hAnsi="標楷體" w:cs="Arial"/>
                <w:sz w:val="32"/>
                <w:szCs w:val="32"/>
              </w:rPr>
              <w:t>現金流量：依現行租賃契約、當地租金或市場相似比較標的租金行情評估，並排除過高或過低之比較標的，有期末價值者，得加計該期末價值之現值。</w:t>
            </w:r>
          </w:p>
          <w:p w:rsidR="00B5393B" w:rsidRPr="00C769EC" w:rsidRDefault="00B5393B" w:rsidP="00A37C7D">
            <w:pPr>
              <w:pStyle w:val="afb"/>
              <w:numPr>
                <w:ilvl w:val="0"/>
                <w:numId w:val="25"/>
              </w:numPr>
              <w:autoSpaceDE w:val="0"/>
              <w:autoSpaceDN w:val="0"/>
              <w:spacing w:before="120" w:after="120"/>
              <w:ind w:leftChars="0"/>
              <w:jc w:val="both"/>
              <w:rPr>
                <w:rFonts w:hAnsi="標楷體" w:cs="Arial"/>
                <w:sz w:val="32"/>
                <w:szCs w:val="32"/>
              </w:rPr>
            </w:pPr>
            <w:r w:rsidRPr="00C769EC">
              <w:rPr>
                <w:rFonts w:hAnsi="標楷體" w:cs="Arial"/>
                <w:sz w:val="32"/>
                <w:szCs w:val="32"/>
              </w:rPr>
              <w:t>分析期間：收益無一定期限者，分析期間以</w:t>
            </w:r>
            <w:proofErr w:type="gramStart"/>
            <w:r w:rsidRPr="00C769EC">
              <w:rPr>
                <w:rFonts w:hAnsi="標楷體" w:cs="Arial"/>
                <w:sz w:val="32"/>
                <w:szCs w:val="32"/>
              </w:rPr>
              <w:t>不</w:t>
            </w:r>
            <w:proofErr w:type="gramEnd"/>
            <w:r w:rsidRPr="00C769EC">
              <w:rPr>
                <w:rFonts w:hAnsi="標楷體" w:cs="Arial"/>
                <w:sz w:val="32"/>
                <w:szCs w:val="32"/>
              </w:rPr>
              <w:t>逾十年為原則，收益有特定期限者，則依剩餘期間估算。</w:t>
            </w:r>
          </w:p>
          <w:p w:rsidR="00B5393B" w:rsidRPr="00C769EC" w:rsidRDefault="00B5393B" w:rsidP="00A37C7D">
            <w:pPr>
              <w:pStyle w:val="afb"/>
              <w:numPr>
                <w:ilvl w:val="0"/>
                <w:numId w:val="25"/>
              </w:numPr>
              <w:autoSpaceDE w:val="0"/>
              <w:autoSpaceDN w:val="0"/>
              <w:spacing w:before="120" w:after="120"/>
              <w:ind w:leftChars="0"/>
              <w:jc w:val="both"/>
              <w:rPr>
                <w:rFonts w:hAnsi="標楷體" w:cs="Arial"/>
                <w:sz w:val="32"/>
                <w:szCs w:val="32"/>
              </w:rPr>
            </w:pPr>
            <w:r w:rsidRPr="00C769EC">
              <w:rPr>
                <w:rFonts w:hAnsi="標楷體" w:cs="Arial"/>
                <w:sz w:val="32"/>
                <w:szCs w:val="32"/>
              </w:rPr>
              <w:t>折現率：</w:t>
            </w:r>
            <w:proofErr w:type="gramStart"/>
            <w:r w:rsidRPr="00C769EC">
              <w:rPr>
                <w:rFonts w:hAnsi="標楷體" w:cs="Arial"/>
                <w:sz w:val="32"/>
                <w:szCs w:val="32"/>
              </w:rPr>
              <w:t>採</w:t>
            </w:r>
            <w:proofErr w:type="gramEnd"/>
            <w:r w:rsidRPr="00C769EC">
              <w:rPr>
                <w:rFonts w:hAnsi="標楷體" w:cs="Arial"/>
                <w:sz w:val="32"/>
                <w:szCs w:val="32"/>
              </w:rPr>
              <w:t>風險</w:t>
            </w:r>
            <w:proofErr w:type="gramStart"/>
            <w:r w:rsidRPr="00C769EC">
              <w:rPr>
                <w:rFonts w:hAnsi="標楷體" w:cs="Arial"/>
                <w:sz w:val="32"/>
                <w:szCs w:val="32"/>
              </w:rPr>
              <w:t>溢酬法</w:t>
            </w:r>
            <w:proofErr w:type="gramEnd"/>
            <w:r w:rsidRPr="00C769EC">
              <w:rPr>
                <w:rFonts w:hAnsi="標楷體" w:cs="Arial"/>
                <w:sz w:val="32"/>
                <w:szCs w:val="32"/>
              </w:rPr>
              <w:t>，以一定利率為基準，加計投資性不動產之個別特性估算。所稱一定利率為基準，不得低於中華郵政股份有限公司牌告二年期郵政定期儲金小額存款機動利率加三碼。</w:t>
            </w:r>
          </w:p>
        </w:tc>
      </w:tr>
      <w:tr w:rsidR="00B5393B" w:rsidRPr="00C769EC" w:rsidTr="00A37C7D">
        <w:tc>
          <w:tcPr>
            <w:tcW w:w="1260" w:type="dxa"/>
            <w:gridSpan w:val="3"/>
          </w:tcPr>
          <w:p w:rsidR="00B5393B" w:rsidRPr="00C769EC" w:rsidRDefault="00B5393B" w:rsidP="007C1361">
            <w:pPr>
              <w:snapToGrid w:val="0"/>
              <w:rPr>
                <w:rFonts w:hAnsi="標楷體" w:cs="Arial"/>
                <w:sz w:val="16"/>
                <w:szCs w:val="16"/>
              </w:rPr>
            </w:pPr>
            <w:r w:rsidRPr="00C769EC">
              <w:rPr>
                <w:rFonts w:hAnsi="標楷體" w:cs="Arial"/>
                <w:sz w:val="16"/>
                <w:szCs w:val="16"/>
              </w:rPr>
              <w:t>IFRS</w:t>
            </w:r>
            <w:r w:rsidRPr="00C769EC">
              <w:rPr>
                <w:rFonts w:hAnsi="標楷體" w:cs="Arial" w:hint="eastAsia"/>
                <w:sz w:val="16"/>
                <w:szCs w:val="16"/>
              </w:rPr>
              <w:t>13</w:t>
            </w:r>
            <w:r w:rsidR="007C1361" w:rsidRPr="00C769EC">
              <w:rPr>
                <w:rFonts w:hAnsi="標楷體" w:cs="Arial" w:hint="eastAsia"/>
                <w:sz w:val="16"/>
                <w:szCs w:val="16"/>
              </w:rPr>
              <w:t>.</w:t>
            </w:r>
            <w:r w:rsidRPr="00C769EC">
              <w:rPr>
                <w:rFonts w:hAnsi="標楷體" w:cs="Arial" w:hint="eastAsia"/>
                <w:sz w:val="16"/>
                <w:szCs w:val="16"/>
              </w:rPr>
              <w:t xml:space="preserve">91, </w:t>
            </w:r>
            <w:r w:rsidRPr="00C769EC">
              <w:rPr>
                <w:rFonts w:hAnsi="標楷體" w:cs="Arial"/>
                <w:sz w:val="16"/>
                <w:szCs w:val="16"/>
              </w:rPr>
              <w:t>IFRS</w:t>
            </w:r>
            <w:r w:rsidRPr="00C769EC">
              <w:rPr>
                <w:rFonts w:hAnsi="標楷體" w:cs="Arial" w:hint="eastAsia"/>
                <w:sz w:val="16"/>
                <w:szCs w:val="16"/>
              </w:rPr>
              <w:t>13</w:t>
            </w:r>
            <w:r w:rsidR="007C1361" w:rsidRPr="00C769EC">
              <w:rPr>
                <w:rFonts w:hAnsi="標楷體" w:cs="Arial" w:hint="eastAsia"/>
                <w:sz w:val="16"/>
                <w:szCs w:val="16"/>
              </w:rPr>
              <w:t>.</w:t>
            </w:r>
            <w:r w:rsidRPr="00C769EC">
              <w:rPr>
                <w:rFonts w:hAnsi="標楷體" w:cs="Arial" w:hint="eastAsia"/>
                <w:sz w:val="16"/>
                <w:szCs w:val="16"/>
              </w:rPr>
              <w:t>93(b), IFRS13</w:t>
            </w:r>
            <w:r w:rsidR="007C1361" w:rsidRPr="00C769EC">
              <w:rPr>
                <w:rFonts w:hAnsi="標楷體" w:cs="Arial" w:hint="eastAsia"/>
                <w:sz w:val="16"/>
                <w:szCs w:val="16"/>
              </w:rPr>
              <w:t>.</w:t>
            </w:r>
            <w:r w:rsidRPr="00C769EC">
              <w:rPr>
                <w:rFonts w:hAnsi="標楷體" w:cs="Arial" w:hint="eastAsia"/>
                <w:sz w:val="16"/>
                <w:szCs w:val="16"/>
              </w:rPr>
              <w:t>97</w:t>
            </w:r>
          </w:p>
        </w:tc>
        <w:tc>
          <w:tcPr>
            <w:tcW w:w="9628" w:type="dxa"/>
            <w:gridSpan w:val="9"/>
          </w:tcPr>
          <w:p w:rsidR="00B5393B" w:rsidRPr="00C769EC" w:rsidRDefault="00B5393B" w:rsidP="00B5393B">
            <w:pPr>
              <w:numPr>
                <w:ilvl w:val="1"/>
                <w:numId w:val="17"/>
              </w:numPr>
              <w:tabs>
                <w:tab w:val="clear" w:pos="992"/>
              </w:tabs>
              <w:spacing w:before="120" w:after="120"/>
              <w:ind w:left="1095"/>
              <w:outlineLvl w:val="2"/>
              <w:rPr>
                <w:rFonts w:hAnsi="標楷體"/>
                <w:bCs/>
                <w:sz w:val="32"/>
                <w:szCs w:val="32"/>
              </w:rPr>
            </w:pPr>
            <w:r w:rsidRPr="00C769EC">
              <w:rPr>
                <w:rFonts w:hAnsi="標楷體" w:cs="Arial" w:hint="eastAsia"/>
                <w:sz w:val="32"/>
                <w:szCs w:val="32"/>
              </w:rPr>
              <w:t>公允價值之等</w:t>
            </w:r>
            <w:r w:rsidRPr="00C769EC">
              <w:rPr>
                <w:rFonts w:hAnsi="標楷體" w:cs="Arial"/>
                <w:sz w:val="32"/>
                <w:szCs w:val="32"/>
              </w:rPr>
              <w:t>級資訊</w:t>
            </w:r>
          </w:p>
        </w:tc>
      </w:tr>
      <w:tr w:rsidR="00B5393B" w:rsidRPr="00C769EC" w:rsidTr="00A37C7D">
        <w:tc>
          <w:tcPr>
            <w:tcW w:w="1260" w:type="dxa"/>
            <w:gridSpan w:val="3"/>
          </w:tcPr>
          <w:p w:rsidR="00B5393B" w:rsidRPr="00C769EC" w:rsidDel="00736C0D" w:rsidRDefault="00B5393B" w:rsidP="00D54EB6">
            <w:pPr>
              <w:rPr>
                <w:rFonts w:hAnsi="標楷體" w:cs="Arial"/>
                <w:sz w:val="16"/>
                <w:szCs w:val="16"/>
              </w:rPr>
            </w:pPr>
          </w:p>
        </w:tc>
        <w:tc>
          <w:tcPr>
            <w:tcW w:w="9628" w:type="dxa"/>
            <w:gridSpan w:val="9"/>
          </w:tcPr>
          <w:p w:rsidR="00B5393B" w:rsidRPr="00C769EC" w:rsidRDefault="00072156" w:rsidP="00D54EB6">
            <w:pPr>
              <w:spacing w:before="120" w:after="120"/>
              <w:ind w:left="953"/>
              <w:outlineLvl w:val="2"/>
              <w:rPr>
                <w:rFonts w:hAnsi="標楷體" w:cs="Arial"/>
                <w:sz w:val="32"/>
                <w:szCs w:val="32"/>
              </w:rPr>
            </w:pPr>
            <w:r w:rsidRPr="00C769EC">
              <w:rPr>
                <w:rFonts w:hAnsi="標楷體" w:cs="Arial" w:hint="eastAsia"/>
                <w:sz w:val="32"/>
                <w:szCs w:val="32"/>
              </w:rPr>
              <w:t>本集團</w:t>
            </w:r>
            <w:r w:rsidR="00B5393B" w:rsidRPr="00C769EC">
              <w:rPr>
                <w:rFonts w:hAnsi="標楷體" w:cs="Arial" w:hint="eastAsia"/>
                <w:sz w:val="32"/>
                <w:szCs w:val="32"/>
              </w:rPr>
              <w:t>之以公允價值衡量之金融工具及投資性不動產</w:t>
            </w:r>
            <w:r w:rsidR="00B5393B" w:rsidRPr="00C769EC">
              <w:rPr>
                <w:rStyle w:val="af8"/>
                <w:rFonts w:hAnsi="標楷體" w:cs="Arial"/>
                <w:sz w:val="32"/>
                <w:szCs w:val="32"/>
              </w:rPr>
              <w:footnoteReference w:id="1"/>
            </w:r>
            <w:proofErr w:type="gramStart"/>
            <w:r w:rsidR="00B5393B" w:rsidRPr="00C769EC">
              <w:rPr>
                <w:rFonts w:hAnsi="標楷體" w:cs="Arial" w:hint="eastAsia"/>
                <w:sz w:val="32"/>
                <w:szCs w:val="32"/>
              </w:rPr>
              <w:t>係皆以</w:t>
            </w:r>
            <w:proofErr w:type="gramEnd"/>
            <w:r w:rsidR="00B5393B" w:rsidRPr="00C769EC">
              <w:rPr>
                <w:rFonts w:hAnsi="標楷體" w:cs="Arial" w:hint="eastAsia"/>
                <w:sz w:val="32"/>
                <w:szCs w:val="32"/>
              </w:rPr>
              <w:t>重複性為基礎按公允價值衡量，而待處分資產係以非重複性為基礎按</w:t>
            </w:r>
            <w:proofErr w:type="gramStart"/>
            <w:r w:rsidR="00B5393B" w:rsidRPr="00C769EC">
              <w:rPr>
                <w:rFonts w:hAnsi="標楷體" w:cs="Arial" w:hint="eastAsia"/>
                <w:sz w:val="32"/>
                <w:szCs w:val="32"/>
              </w:rPr>
              <w:t>帳面</w:t>
            </w:r>
            <w:proofErr w:type="gramEnd"/>
            <w:r w:rsidR="00B5393B" w:rsidRPr="00C769EC">
              <w:rPr>
                <w:rFonts w:hAnsi="標楷體" w:cs="Arial" w:hint="eastAsia"/>
                <w:sz w:val="32"/>
                <w:szCs w:val="32"/>
              </w:rPr>
              <w:t>金額與公允價值減出售成本孰低者衡量。</w:t>
            </w:r>
            <w:r w:rsidRPr="00C769EC">
              <w:rPr>
                <w:rFonts w:hAnsi="標楷體" w:cs="Arial" w:hint="eastAsia"/>
                <w:sz w:val="32"/>
                <w:szCs w:val="32"/>
              </w:rPr>
              <w:t>本集團</w:t>
            </w:r>
            <w:r w:rsidR="00B5393B" w:rsidRPr="00C769EC">
              <w:rPr>
                <w:rFonts w:hAnsi="標楷體" w:cs="Arial" w:hint="eastAsia"/>
                <w:sz w:val="32"/>
                <w:szCs w:val="32"/>
              </w:rPr>
              <w:t>之公允價值等級資訊如下表所示：</w:t>
            </w:r>
          </w:p>
        </w:tc>
      </w:tr>
      <w:tr w:rsidR="00B5393B" w:rsidRPr="00C769EC" w:rsidTr="00A37C7D">
        <w:trPr>
          <w:gridBefore w:val="1"/>
          <w:wBefore w:w="8" w:type="dxa"/>
        </w:trPr>
        <w:tc>
          <w:tcPr>
            <w:tcW w:w="1246" w:type="dxa"/>
          </w:tcPr>
          <w:p w:rsidR="00B5393B" w:rsidRPr="00C769EC" w:rsidRDefault="00B5393B" w:rsidP="007C1361">
            <w:pPr>
              <w:snapToGrid w:val="0"/>
              <w:rPr>
                <w:rFonts w:hAnsi="標楷體" w:cs="Arial"/>
                <w:sz w:val="16"/>
                <w:szCs w:val="16"/>
              </w:rPr>
            </w:pPr>
            <w:r w:rsidRPr="00C769EC">
              <w:rPr>
                <w:rFonts w:hAnsi="標楷體" w:cs="Arial"/>
                <w:sz w:val="16"/>
                <w:szCs w:val="16"/>
              </w:rPr>
              <w:t>IFRS</w:t>
            </w:r>
            <w:r w:rsidRPr="00C769EC">
              <w:rPr>
                <w:rFonts w:hAnsi="標楷體" w:cs="Arial" w:hint="eastAsia"/>
                <w:sz w:val="16"/>
                <w:szCs w:val="16"/>
              </w:rPr>
              <w:t>13</w:t>
            </w:r>
            <w:r w:rsidR="007C1361" w:rsidRPr="00C769EC">
              <w:rPr>
                <w:rFonts w:hAnsi="標楷體" w:cs="Arial" w:hint="eastAsia"/>
                <w:sz w:val="16"/>
                <w:szCs w:val="16"/>
              </w:rPr>
              <w:t>.</w:t>
            </w:r>
            <w:r w:rsidRPr="00C769EC">
              <w:rPr>
                <w:rFonts w:hAnsi="標楷體" w:cs="Arial" w:hint="eastAsia"/>
                <w:sz w:val="16"/>
                <w:szCs w:val="16"/>
              </w:rPr>
              <w:t>93(b), IFRS13</w:t>
            </w:r>
            <w:r w:rsidR="007C1361" w:rsidRPr="00C769EC">
              <w:rPr>
                <w:rFonts w:hAnsi="標楷體" w:cs="Arial" w:hint="eastAsia"/>
                <w:sz w:val="16"/>
                <w:szCs w:val="16"/>
              </w:rPr>
              <w:t>.</w:t>
            </w:r>
            <w:r w:rsidRPr="00C769EC">
              <w:rPr>
                <w:rFonts w:hAnsi="標楷體" w:cs="Arial" w:hint="eastAsia"/>
                <w:sz w:val="16"/>
                <w:szCs w:val="16"/>
              </w:rPr>
              <w:t>97</w:t>
            </w:r>
          </w:p>
        </w:tc>
        <w:tc>
          <w:tcPr>
            <w:tcW w:w="9634" w:type="dxa"/>
            <w:gridSpan w:val="10"/>
          </w:tcPr>
          <w:p w:rsidR="00B5393B" w:rsidRPr="00C769EC" w:rsidRDefault="00B5393B" w:rsidP="00B5393B">
            <w:pPr>
              <w:numPr>
                <w:ilvl w:val="2"/>
                <w:numId w:val="17"/>
              </w:numPr>
              <w:tabs>
                <w:tab w:val="clear" w:pos="1854"/>
              </w:tabs>
              <w:spacing w:before="120" w:after="120"/>
              <w:ind w:left="1520" w:hanging="425"/>
              <w:jc w:val="both"/>
              <w:outlineLvl w:val="3"/>
              <w:rPr>
                <w:rFonts w:hAnsi="標楷體" w:cs="Arial"/>
                <w:sz w:val="32"/>
                <w:szCs w:val="32"/>
                <w:u w:val="single"/>
              </w:rPr>
            </w:pPr>
            <w:r w:rsidRPr="00C769EC">
              <w:rPr>
                <w:rFonts w:hAnsi="標楷體" w:cs="Arial"/>
                <w:sz w:val="32"/>
                <w:szCs w:val="32"/>
                <w:u w:val="single"/>
              </w:rPr>
              <w:t>公允價值之等級資訊</w:t>
            </w:r>
            <w:r w:rsidRPr="00C769EC">
              <w:rPr>
                <w:rStyle w:val="af8"/>
                <w:rFonts w:hAnsi="標楷體" w:cs="Arial"/>
                <w:sz w:val="32"/>
                <w:szCs w:val="32"/>
                <w:u w:val="single"/>
              </w:rPr>
              <w:footnoteReference w:id="2"/>
            </w:r>
          </w:p>
        </w:tc>
      </w:tr>
      <w:tr w:rsidR="00B5393B" w:rsidRPr="00C769EC" w:rsidTr="00A37C7D">
        <w:tblPrEx>
          <w:tblBorders>
            <w:top w:val="single" w:sz="4" w:space="0" w:color="auto"/>
            <w:left w:val="single" w:sz="4" w:space="0" w:color="auto"/>
            <w:bottom w:val="single" w:sz="4" w:space="0" w:color="auto"/>
            <w:right w:val="single" w:sz="4" w:space="0" w:color="auto"/>
          </w:tblBorders>
          <w:tblLook w:val="0000"/>
        </w:tblPrEx>
        <w:trPr>
          <w:gridBefore w:val="1"/>
          <w:wBefore w:w="8" w:type="dxa"/>
          <w:tblHeader/>
        </w:trPr>
        <w:tc>
          <w:tcPr>
            <w:tcW w:w="2380" w:type="dxa"/>
            <w:gridSpan w:val="3"/>
            <w:vMerge w:val="restart"/>
            <w:tcBorders>
              <w:top w:val="single" w:sz="4" w:space="0" w:color="auto"/>
              <w:left w:val="single" w:sz="4" w:space="0" w:color="auto"/>
              <w:right w:val="single" w:sz="4" w:space="0" w:color="auto"/>
            </w:tcBorders>
            <w:vAlign w:val="center"/>
          </w:tcPr>
          <w:p w:rsidR="00B5393B" w:rsidRPr="00C769EC" w:rsidRDefault="00B5393B" w:rsidP="00D54EB6">
            <w:pPr>
              <w:spacing w:line="320" w:lineRule="exact"/>
              <w:jc w:val="center"/>
              <w:rPr>
                <w:rFonts w:hAnsi="標楷體"/>
                <w:kern w:val="0"/>
                <w:sz w:val="20"/>
              </w:rPr>
            </w:pPr>
            <w:r w:rsidRPr="00C769EC">
              <w:rPr>
                <w:rFonts w:hAnsi="標楷體" w:hint="eastAsia"/>
                <w:kern w:val="0"/>
                <w:sz w:val="20"/>
              </w:rPr>
              <w:t>資產及負債</w:t>
            </w:r>
            <w:r w:rsidRPr="00C769EC">
              <w:rPr>
                <w:rFonts w:hAnsi="標楷體"/>
                <w:kern w:val="0"/>
                <w:sz w:val="20"/>
              </w:rPr>
              <w:t>項目</w:t>
            </w:r>
          </w:p>
        </w:tc>
        <w:tc>
          <w:tcPr>
            <w:tcW w:w="4106" w:type="dxa"/>
            <w:gridSpan w:val="4"/>
            <w:tcBorders>
              <w:top w:val="single" w:sz="4" w:space="0" w:color="auto"/>
              <w:left w:val="single" w:sz="4" w:space="0" w:color="auto"/>
              <w:bottom w:val="single" w:sz="4" w:space="0" w:color="auto"/>
              <w:right w:val="single" w:sz="4" w:space="0" w:color="auto"/>
            </w:tcBorders>
            <w:vAlign w:val="center"/>
          </w:tcPr>
          <w:p w:rsidR="00B5393B" w:rsidRPr="00C769EC" w:rsidRDefault="00B5393B" w:rsidP="00676979">
            <w:pPr>
              <w:pStyle w:val="af6"/>
              <w:spacing w:line="320" w:lineRule="exact"/>
              <w:jc w:val="center"/>
              <w:rPr>
                <w:rFonts w:ascii="標楷體" w:eastAsia="標楷體" w:hAnsi="標楷體"/>
                <w:kern w:val="0"/>
              </w:rPr>
            </w:pPr>
            <w:r w:rsidRPr="00C769EC">
              <w:rPr>
                <w:rFonts w:ascii="標楷體" w:eastAsia="標楷體" w:hAnsi="標楷體"/>
                <w:kern w:val="0"/>
              </w:rPr>
              <w:t>民國</w:t>
            </w:r>
            <w:r w:rsidR="00676979" w:rsidRPr="00C769EC">
              <w:rPr>
                <w:rFonts w:ascii="標楷體" w:eastAsia="標楷體" w:hAnsi="標楷體" w:hint="eastAsia"/>
                <w:kern w:val="0"/>
              </w:rPr>
              <w:t>104</w:t>
            </w:r>
            <w:r w:rsidRPr="00C769EC">
              <w:rPr>
                <w:rFonts w:ascii="標楷體" w:eastAsia="標楷體" w:hAnsi="標楷體"/>
                <w:kern w:val="0"/>
              </w:rPr>
              <w:t>年12月31日</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B5393B" w:rsidRPr="00C769EC" w:rsidRDefault="00B5393B" w:rsidP="00676979">
            <w:pPr>
              <w:spacing w:line="320" w:lineRule="exact"/>
              <w:jc w:val="center"/>
              <w:rPr>
                <w:rFonts w:hAnsi="標楷體"/>
                <w:kern w:val="0"/>
                <w:sz w:val="20"/>
              </w:rPr>
            </w:pPr>
            <w:r w:rsidRPr="00C769EC">
              <w:rPr>
                <w:rFonts w:hAnsi="標楷體"/>
                <w:kern w:val="0"/>
                <w:sz w:val="20"/>
              </w:rPr>
              <w:t>民國</w:t>
            </w:r>
            <w:r w:rsidR="00676979" w:rsidRPr="00C769EC">
              <w:rPr>
                <w:rFonts w:hAnsi="標楷體" w:hint="eastAsia"/>
                <w:kern w:val="0"/>
                <w:sz w:val="20"/>
              </w:rPr>
              <w:t>103</w:t>
            </w:r>
            <w:r w:rsidRPr="00C769EC">
              <w:rPr>
                <w:rFonts w:hAnsi="標楷體"/>
                <w:kern w:val="0"/>
                <w:sz w:val="20"/>
              </w:rPr>
              <w:t>年12月31日</w:t>
            </w:r>
          </w:p>
        </w:tc>
      </w:tr>
      <w:tr w:rsidR="00E43702" w:rsidRPr="00C769EC" w:rsidTr="00A37C7D">
        <w:tblPrEx>
          <w:tblBorders>
            <w:top w:val="single" w:sz="4" w:space="0" w:color="auto"/>
            <w:left w:val="single" w:sz="4" w:space="0" w:color="auto"/>
            <w:bottom w:val="single" w:sz="4" w:space="0" w:color="auto"/>
            <w:right w:val="single" w:sz="4" w:space="0" w:color="auto"/>
          </w:tblBorders>
          <w:tblLook w:val="0000"/>
        </w:tblPrEx>
        <w:trPr>
          <w:gridBefore w:val="1"/>
          <w:wBefore w:w="8" w:type="dxa"/>
          <w:tblHeader/>
        </w:trPr>
        <w:tc>
          <w:tcPr>
            <w:tcW w:w="2380" w:type="dxa"/>
            <w:gridSpan w:val="3"/>
            <w:vMerge/>
            <w:tcBorders>
              <w:left w:val="single" w:sz="4" w:space="0" w:color="auto"/>
              <w:bottom w:val="single" w:sz="4" w:space="0" w:color="auto"/>
              <w:right w:val="single" w:sz="4" w:space="0" w:color="auto"/>
            </w:tcBorders>
            <w:vAlign w:val="center"/>
          </w:tcPr>
          <w:p w:rsidR="00B5393B" w:rsidRPr="00C769EC" w:rsidRDefault="00B5393B" w:rsidP="00D54EB6">
            <w:pPr>
              <w:spacing w:line="320" w:lineRule="exact"/>
              <w:jc w:val="center"/>
              <w:rPr>
                <w:rFonts w:hAnsi="標楷體"/>
                <w:kern w:val="0"/>
                <w:sz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spacing w:line="220" w:lineRule="exact"/>
              <w:jc w:val="center"/>
              <w:rPr>
                <w:rFonts w:hAnsi="標楷體"/>
                <w:kern w:val="0"/>
                <w:sz w:val="18"/>
                <w:szCs w:val="18"/>
              </w:rPr>
            </w:pPr>
            <w:r w:rsidRPr="00C769EC">
              <w:rPr>
                <w:rFonts w:hAnsi="標楷體"/>
                <w:kern w:val="0"/>
                <w:sz w:val="18"/>
                <w:szCs w:val="18"/>
              </w:rPr>
              <w:t>合計</w:t>
            </w:r>
          </w:p>
        </w:tc>
        <w:tc>
          <w:tcPr>
            <w:tcW w:w="113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相同資產</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於活絡市</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場之報價</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w:t>
            </w:r>
            <w:r w:rsidRPr="00C769EC">
              <w:rPr>
                <w:rFonts w:ascii="標楷體" w:eastAsia="標楷體" w:hAnsi="標楷體"/>
                <w:kern w:val="0"/>
                <w:sz w:val="18"/>
                <w:szCs w:val="18"/>
              </w:rPr>
              <w:t>第一等級</w:t>
            </w:r>
            <w:r w:rsidRPr="00C769EC">
              <w:rPr>
                <w:rFonts w:ascii="標楷體" w:eastAsia="標楷體" w:hAnsi="標楷體"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重大之其</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他可觀察</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輸入值</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w:t>
            </w:r>
            <w:r w:rsidRPr="00C769EC">
              <w:rPr>
                <w:rFonts w:ascii="標楷體" w:eastAsia="標楷體" w:hAnsi="標楷體"/>
                <w:kern w:val="0"/>
                <w:sz w:val="18"/>
                <w:szCs w:val="18"/>
              </w:rPr>
              <w:t>第二等級</w:t>
            </w:r>
            <w:r w:rsidRPr="00C769EC">
              <w:rPr>
                <w:rFonts w:ascii="標楷體" w:eastAsia="標楷體" w:hAnsi="標楷體"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43702" w:rsidRPr="00C769EC" w:rsidRDefault="00B5393B" w:rsidP="00D54EB6">
            <w:pPr>
              <w:pStyle w:val="af6"/>
              <w:spacing w:line="220" w:lineRule="exact"/>
              <w:ind w:firstLine="52"/>
              <w:jc w:val="center"/>
              <w:rPr>
                <w:rFonts w:ascii="標楷體" w:eastAsia="標楷體" w:hAnsi="標楷體"/>
                <w:kern w:val="0"/>
                <w:sz w:val="18"/>
                <w:szCs w:val="18"/>
              </w:rPr>
            </w:pPr>
            <w:r w:rsidRPr="00C769EC">
              <w:rPr>
                <w:rFonts w:ascii="標楷體" w:eastAsia="標楷體" w:hAnsi="標楷體" w:hint="eastAsia"/>
                <w:kern w:val="0"/>
                <w:sz w:val="18"/>
                <w:szCs w:val="18"/>
              </w:rPr>
              <w:t>重大之不可</w:t>
            </w:r>
          </w:p>
          <w:p w:rsidR="00B5393B" w:rsidRPr="00C769EC" w:rsidRDefault="00B5393B" w:rsidP="00D54EB6">
            <w:pPr>
              <w:pStyle w:val="af6"/>
              <w:spacing w:line="220" w:lineRule="exact"/>
              <w:ind w:firstLine="52"/>
              <w:jc w:val="center"/>
              <w:rPr>
                <w:rFonts w:ascii="標楷體" w:eastAsia="標楷體" w:hAnsi="標楷體"/>
                <w:kern w:val="0"/>
                <w:sz w:val="18"/>
                <w:szCs w:val="18"/>
              </w:rPr>
            </w:pPr>
            <w:r w:rsidRPr="00C769EC">
              <w:rPr>
                <w:rFonts w:ascii="標楷體" w:eastAsia="標楷體" w:hAnsi="標楷體" w:hint="eastAsia"/>
                <w:kern w:val="0"/>
                <w:sz w:val="18"/>
                <w:szCs w:val="18"/>
              </w:rPr>
              <w:t>觀察輸入值</w:t>
            </w:r>
          </w:p>
          <w:p w:rsidR="00B5393B" w:rsidRPr="00C769EC" w:rsidRDefault="00B5393B" w:rsidP="00D54EB6">
            <w:pPr>
              <w:pStyle w:val="af6"/>
              <w:spacing w:line="220" w:lineRule="exact"/>
              <w:ind w:leftChars="-24" w:left="-58" w:firstLineChars="29" w:firstLine="52"/>
              <w:jc w:val="center"/>
              <w:rPr>
                <w:rFonts w:ascii="標楷體" w:eastAsia="標楷體" w:hAnsi="標楷體"/>
                <w:kern w:val="0"/>
                <w:sz w:val="18"/>
                <w:szCs w:val="18"/>
              </w:rPr>
            </w:pPr>
            <w:r w:rsidRPr="00C769EC">
              <w:rPr>
                <w:rFonts w:ascii="標楷體" w:eastAsia="標楷體" w:hAnsi="標楷體" w:hint="eastAsia"/>
                <w:kern w:val="0"/>
                <w:sz w:val="18"/>
                <w:szCs w:val="18"/>
              </w:rPr>
              <w:t>(</w:t>
            </w:r>
            <w:r w:rsidRPr="00C769EC">
              <w:rPr>
                <w:rFonts w:ascii="標楷體" w:eastAsia="標楷體" w:hAnsi="標楷體"/>
                <w:kern w:val="0"/>
                <w:sz w:val="18"/>
                <w:szCs w:val="18"/>
              </w:rPr>
              <w:t>第三等級</w:t>
            </w:r>
            <w:r w:rsidRPr="00C769EC">
              <w:rPr>
                <w:rFonts w:ascii="標楷體" w:eastAsia="標楷體" w:hAnsi="標楷體"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spacing w:line="220" w:lineRule="exact"/>
              <w:jc w:val="center"/>
              <w:rPr>
                <w:rFonts w:hAnsi="標楷體"/>
                <w:kern w:val="0"/>
                <w:sz w:val="18"/>
                <w:szCs w:val="18"/>
              </w:rPr>
            </w:pPr>
            <w:r w:rsidRPr="00C769EC">
              <w:rPr>
                <w:rFonts w:hAnsi="標楷體"/>
                <w:kern w:val="0"/>
                <w:sz w:val="18"/>
                <w:szCs w:val="18"/>
              </w:rPr>
              <w:t>合計</w:t>
            </w:r>
          </w:p>
        </w:tc>
        <w:tc>
          <w:tcPr>
            <w:tcW w:w="113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相同資產</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於活絡市</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場之報價</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w:t>
            </w:r>
            <w:r w:rsidRPr="00C769EC">
              <w:rPr>
                <w:rFonts w:ascii="標楷體" w:eastAsia="標楷體" w:hAnsi="標楷體"/>
                <w:kern w:val="0"/>
                <w:sz w:val="18"/>
                <w:szCs w:val="18"/>
              </w:rPr>
              <w:t>第一等級</w:t>
            </w:r>
            <w:r w:rsidRPr="00C769EC">
              <w:rPr>
                <w:rFonts w:ascii="標楷體" w:eastAsia="標楷體" w:hAnsi="標楷體" w:hint="eastAsia"/>
                <w:kern w:val="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重大之其</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他可觀察</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輸入值</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w:t>
            </w:r>
            <w:r w:rsidRPr="00C769EC">
              <w:rPr>
                <w:rFonts w:ascii="標楷體" w:eastAsia="標楷體" w:hAnsi="標楷體"/>
                <w:kern w:val="0"/>
                <w:sz w:val="18"/>
                <w:szCs w:val="18"/>
              </w:rPr>
              <w:t>第二等級</w:t>
            </w:r>
            <w:r w:rsidRPr="00C769EC">
              <w:rPr>
                <w:rFonts w:ascii="標楷體" w:eastAsia="標楷體" w:hAnsi="標楷體" w:hint="eastAsia"/>
                <w:kern w:val="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43702" w:rsidRPr="00C769EC" w:rsidRDefault="00B5393B" w:rsidP="00D54EB6">
            <w:pPr>
              <w:pStyle w:val="af6"/>
              <w:spacing w:line="220" w:lineRule="exact"/>
              <w:ind w:firstLine="52"/>
              <w:jc w:val="center"/>
              <w:rPr>
                <w:rFonts w:ascii="標楷體" w:eastAsia="標楷體" w:hAnsi="標楷體"/>
                <w:kern w:val="0"/>
                <w:sz w:val="18"/>
                <w:szCs w:val="18"/>
              </w:rPr>
            </w:pPr>
            <w:r w:rsidRPr="00C769EC">
              <w:rPr>
                <w:rFonts w:ascii="標楷體" w:eastAsia="標楷體" w:hAnsi="標楷體" w:hint="eastAsia"/>
                <w:kern w:val="0"/>
                <w:sz w:val="18"/>
                <w:szCs w:val="18"/>
              </w:rPr>
              <w:t>重大之不可</w:t>
            </w:r>
          </w:p>
          <w:p w:rsidR="00B5393B" w:rsidRPr="00C769EC" w:rsidRDefault="00B5393B" w:rsidP="00D54EB6">
            <w:pPr>
              <w:pStyle w:val="af6"/>
              <w:spacing w:line="220" w:lineRule="exact"/>
              <w:ind w:firstLine="52"/>
              <w:jc w:val="center"/>
              <w:rPr>
                <w:rFonts w:ascii="標楷體" w:eastAsia="標楷體" w:hAnsi="標楷體"/>
                <w:kern w:val="0"/>
                <w:sz w:val="18"/>
                <w:szCs w:val="18"/>
              </w:rPr>
            </w:pPr>
            <w:r w:rsidRPr="00C769EC">
              <w:rPr>
                <w:rFonts w:ascii="標楷體" w:eastAsia="標楷體" w:hAnsi="標楷體" w:hint="eastAsia"/>
                <w:kern w:val="0"/>
                <w:sz w:val="18"/>
                <w:szCs w:val="18"/>
              </w:rPr>
              <w:t>觀察輸入值</w:t>
            </w:r>
          </w:p>
          <w:p w:rsidR="00B5393B" w:rsidRPr="00C769EC" w:rsidRDefault="00B5393B" w:rsidP="00D54EB6">
            <w:pPr>
              <w:pStyle w:val="af6"/>
              <w:spacing w:line="220" w:lineRule="exact"/>
              <w:jc w:val="center"/>
              <w:rPr>
                <w:rFonts w:ascii="標楷體" w:eastAsia="標楷體" w:hAnsi="標楷體"/>
                <w:kern w:val="0"/>
                <w:sz w:val="18"/>
                <w:szCs w:val="18"/>
              </w:rPr>
            </w:pPr>
            <w:r w:rsidRPr="00C769EC">
              <w:rPr>
                <w:rFonts w:ascii="標楷體" w:eastAsia="標楷體" w:hAnsi="標楷體" w:hint="eastAsia"/>
                <w:kern w:val="0"/>
                <w:sz w:val="18"/>
                <w:szCs w:val="18"/>
              </w:rPr>
              <w:t>(</w:t>
            </w:r>
            <w:r w:rsidRPr="00C769EC">
              <w:rPr>
                <w:rFonts w:ascii="標楷體" w:eastAsia="標楷體" w:hAnsi="標楷體"/>
                <w:kern w:val="0"/>
                <w:sz w:val="18"/>
                <w:szCs w:val="18"/>
              </w:rPr>
              <w:t>第三等級</w:t>
            </w:r>
            <w:r w:rsidRPr="00C769EC">
              <w:rPr>
                <w:rFonts w:ascii="標楷體" w:eastAsia="標楷體" w:hAnsi="標楷體" w:hint="eastAsia"/>
                <w:kern w:val="0"/>
                <w:sz w:val="18"/>
                <w:szCs w:val="18"/>
              </w:rPr>
              <w:t>)</w:t>
            </w:r>
          </w:p>
        </w:tc>
      </w:tr>
      <w:tr w:rsidR="00E43702" w:rsidRPr="00C769EC" w:rsidTr="00A37C7D">
        <w:tblPrEx>
          <w:tblBorders>
            <w:top w:val="single" w:sz="4" w:space="0" w:color="auto"/>
            <w:left w:val="single" w:sz="4" w:space="0" w:color="auto"/>
            <w:bottom w:val="single" w:sz="4" w:space="0" w:color="auto"/>
            <w:right w:val="single" w:sz="4" w:space="0" w:color="auto"/>
          </w:tblBorders>
          <w:tblLook w:val="0000"/>
        </w:tblPrEx>
        <w:trPr>
          <w:gridBefore w:val="1"/>
          <w:wBefore w:w="8" w:type="dxa"/>
        </w:trPr>
        <w:tc>
          <w:tcPr>
            <w:tcW w:w="2380" w:type="dxa"/>
            <w:gridSpan w:val="3"/>
            <w:tcBorders>
              <w:top w:val="single" w:sz="4" w:space="0" w:color="auto"/>
              <w:left w:val="single" w:sz="4" w:space="0" w:color="auto"/>
              <w:bottom w:val="single" w:sz="4" w:space="0" w:color="auto"/>
              <w:right w:val="single" w:sz="4" w:space="0" w:color="auto"/>
            </w:tcBorders>
          </w:tcPr>
          <w:p w:rsidR="00B5393B" w:rsidRPr="00B60BBF" w:rsidRDefault="00344DAF" w:rsidP="00D54EB6">
            <w:pPr>
              <w:pStyle w:val="af9"/>
              <w:spacing w:line="220" w:lineRule="exact"/>
              <w:ind w:leftChars="-1" w:left="198" w:hangingChars="100" w:hanging="200"/>
              <w:rPr>
                <w:rFonts w:hAnsi="標楷體"/>
                <w:b/>
                <w:bCs/>
                <w:kern w:val="0"/>
                <w:sz w:val="20"/>
                <w:u w:val="single"/>
              </w:rPr>
            </w:pPr>
            <w:proofErr w:type="gramStart"/>
            <w:r w:rsidRPr="00B60BBF">
              <w:rPr>
                <w:rFonts w:hAnsi="標楷體" w:hint="eastAsia"/>
                <w:b/>
                <w:bCs/>
                <w:kern w:val="0"/>
                <w:sz w:val="20"/>
                <w:u w:val="single"/>
              </w:rPr>
              <w:t>重複性</w:t>
            </w:r>
            <w:r w:rsidR="00B5393B" w:rsidRPr="00B60BBF">
              <w:rPr>
                <w:rFonts w:hAnsi="標楷體"/>
                <w:b/>
                <w:bCs/>
                <w:kern w:val="0"/>
                <w:sz w:val="20"/>
                <w:u w:val="single"/>
              </w:rPr>
              <w:t>非衍生</w:t>
            </w:r>
            <w:proofErr w:type="gramEnd"/>
            <w:r w:rsidR="00B5393B" w:rsidRPr="00B60BBF">
              <w:rPr>
                <w:rFonts w:hAnsi="標楷體" w:hint="eastAsia"/>
                <w:b/>
                <w:bCs/>
                <w:kern w:val="0"/>
                <w:sz w:val="20"/>
                <w:u w:val="single"/>
              </w:rPr>
              <w:t>資產及負債</w:t>
            </w:r>
          </w:p>
          <w:p w:rsidR="00B5393B" w:rsidRPr="00C769EC" w:rsidRDefault="00B5393B" w:rsidP="00D54EB6">
            <w:pPr>
              <w:pStyle w:val="af9"/>
              <w:spacing w:line="220" w:lineRule="exact"/>
              <w:ind w:leftChars="40" w:left="96"/>
              <w:rPr>
                <w:rFonts w:hAnsi="標楷體"/>
                <w:bCs/>
                <w:sz w:val="20"/>
                <w:u w:val="single"/>
              </w:rPr>
            </w:pPr>
            <w:r w:rsidRPr="00C769EC">
              <w:rPr>
                <w:rFonts w:hAnsi="標楷體"/>
                <w:bCs/>
                <w:kern w:val="0"/>
                <w:sz w:val="20"/>
                <w:u w:val="single"/>
              </w:rPr>
              <w:t>資產</w:t>
            </w:r>
          </w:p>
          <w:p w:rsidR="00B5393B" w:rsidRPr="00C769EC" w:rsidRDefault="00B5393B" w:rsidP="00D54EB6">
            <w:pPr>
              <w:spacing w:line="220" w:lineRule="exact"/>
              <w:ind w:leftChars="84" w:left="440" w:rightChars="-8" w:right="-19" w:hangingChars="119" w:hanging="238"/>
              <w:rPr>
                <w:rFonts w:hAnsi="標楷體"/>
                <w:kern w:val="0"/>
                <w:sz w:val="20"/>
              </w:rPr>
            </w:pPr>
            <w:r w:rsidRPr="00C769EC">
              <w:rPr>
                <w:rFonts w:hAnsi="標楷體"/>
                <w:kern w:val="0"/>
                <w:sz w:val="20"/>
              </w:rPr>
              <w:t>透過損益按公允價值衡量之金融資產</w:t>
            </w:r>
          </w:p>
          <w:p w:rsidR="00B5393B" w:rsidRPr="00C769EC" w:rsidRDefault="00DB7C1D" w:rsidP="00DB7C1D">
            <w:pPr>
              <w:spacing w:line="220" w:lineRule="exact"/>
              <w:ind w:leftChars="84" w:left="440" w:rightChars="-8" w:right="-19" w:hangingChars="119" w:hanging="238"/>
              <w:rPr>
                <w:rFonts w:hAnsi="標楷體"/>
                <w:kern w:val="0"/>
                <w:sz w:val="20"/>
              </w:rPr>
            </w:pPr>
            <w:r w:rsidRPr="00C769EC">
              <w:rPr>
                <w:rFonts w:hAnsi="標楷體" w:hint="eastAsia"/>
                <w:kern w:val="0"/>
                <w:sz w:val="20"/>
              </w:rPr>
              <w:t xml:space="preserve">     </w:t>
            </w:r>
            <w:proofErr w:type="gramStart"/>
            <w:r w:rsidR="00B5393B" w:rsidRPr="00C769EC">
              <w:rPr>
                <w:rFonts w:hAnsi="標楷體"/>
                <w:kern w:val="0"/>
                <w:sz w:val="20"/>
              </w:rPr>
              <w:t>持有供交易之金</w:t>
            </w:r>
            <w:proofErr w:type="gramEnd"/>
            <w:r w:rsidR="00B5393B" w:rsidRPr="00C769EC">
              <w:rPr>
                <w:rFonts w:hAnsi="標楷體"/>
                <w:kern w:val="0"/>
                <w:sz w:val="20"/>
              </w:rPr>
              <w:t>融資產</w:t>
            </w:r>
          </w:p>
          <w:p w:rsidR="00B5393B" w:rsidRPr="00C769EC" w:rsidRDefault="00B5393B" w:rsidP="00D54EB6">
            <w:pPr>
              <w:spacing w:line="220" w:lineRule="exact"/>
              <w:ind w:leftChars="182" w:left="437" w:rightChars="100" w:right="240" w:firstLineChars="99" w:firstLine="198"/>
              <w:rPr>
                <w:rFonts w:hAnsi="標楷體"/>
                <w:kern w:val="0"/>
                <w:sz w:val="20"/>
              </w:rPr>
            </w:pPr>
            <w:r w:rsidRPr="00C769EC">
              <w:rPr>
                <w:rFonts w:hAnsi="標楷體"/>
                <w:kern w:val="0"/>
                <w:sz w:val="20"/>
              </w:rPr>
              <w:t>股票投資</w:t>
            </w:r>
          </w:p>
          <w:p w:rsidR="00B5393B" w:rsidRPr="00C769EC" w:rsidRDefault="00B5393B" w:rsidP="00D54EB6">
            <w:pPr>
              <w:spacing w:line="220" w:lineRule="exact"/>
              <w:ind w:leftChars="182" w:left="437" w:rightChars="100" w:right="240" w:firstLineChars="99" w:firstLine="198"/>
              <w:rPr>
                <w:rFonts w:hAnsi="標楷體"/>
                <w:kern w:val="0"/>
                <w:sz w:val="20"/>
              </w:rPr>
            </w:pPr>
            <w:r w:rsidRPr="00C769EC">
              <w:rPr>
                <w:rFonts w:hAnsi="標楷體"/>
                <w:kern w:val="0"/>
                <w:sz w:val="20"/>
              </w:rPr>
              <w:t>債券投資</w:t>
            </w:r>
          </w:p>
          <w:p w:rsidR="00B5393B" w:rsidRPr="00C769EC" w:rsidRDefault="00B5393B" w:rsidP="00D54EB6">
            <w:pPr>
              <w:spacing w:line="220" w:lineRule="exact"/>
              <w:ind w:leftChars="183" w:left="637" w:hangingChars="99" w:hanging="198"/>
              <w:rPr>
                <w:rFonts w:hAnsi="標楷體"/>
                <w:kern w:val="0"/>
                <w:sz w:val="20"/>
              </w:rPr>
            </w:pPr>
            <w:r w:rsidRPr="00C769EC">
              <w:rPr>
                <w:rFonts w:hAnsi="標楷體"/>
                <w:kern w:val="0"/>
                <w:sz w:val="20"/>
              </w:rPr>
              <w:t>原始認列時指定透過損益按公允價值衡量之金融資產</w:t>
            </w:r>
          </w:p>
          <w:p w:rsidR="00B5393B" w:rsidRPr="00C769EC" w:rsidRDefault="00B5393B" w:rsidP="00D54EB6">
            <w:pPr>
              <w:spacing w:line="220" w:lineRule="exact"/>
              <w:ind w:leftChars="84" w:left="440" w:rightChars="-8" w:right="-19" w:hangingChars="119" w:hanging="238"/>
              <w:rPr>
                <w:rFonts w:hAnsi="標楷體"/>
                <w:kern w:val="0"/>
                <w:sz w:val="20"/>
              </w:rPr>
            </w:pPr>
            <w:r w:rsidRPr="00C769EC">
              <w:rPr>
                <w:rFonts w:hAnsi="標楷體"/>
                <w:kern w:val="0"/>
                <w:sz w:val="20"/>
              </w:rPr>
              <w:t>備供出售金融資產</w:t>
            </w:r>
          </w:p>
          <w:p w:rsidR="00B5393B" w:rsidRPr="00C769EC" w:rsidRDefault="00B5393B" w:rsidP="00D54EB6">
            <w:pPr>
              <w:tabs>
                <w:tab w:val="right" w:pos="2169"/>
              </w:tabs>
              <w:spacing w:line="220" w:lineRule="exact"/>
              <w:ind w:leftChars="183" w:left="637" w:hangingChars="99" w:hanging="198"/>
              <w:rPr>
                <w:rFonts w:hAnsi="標楷體"/>
                <w:kern w:val="0"/>
                <w:sz w:val="20"/>
              </w:rPr>
            </w:pPr>
            <w:r w:rsidRPr="00C769EC">
              <w:rPr>
                <w:rFonts w:hAnsi="標楷體"/>
                <w:kern w:val="0"/>
                <w:sz w:val="20"/>
              </w:rPr>
              <w:t>股票投資</w:t>
            </w:r>
            <w:r w:rsidRPr="00C769EC">
              <w:rPr>
                <w:rFonts w:hAnsi="標楷體"/>
                <w:kern w:val="0"/>
                <w:sz w:val="20"/>
              </w:rPr>
              <w:tab/>
            </w:r>
          </w:p>
          <w:p w:rsidR="00B5393B" w:rsidRPr="00C769EC" w:rsidRDefault="00B5393B" w:rsidP="00D54EB6">
            <w:pPr>
              <w:spacing w:line="220" w:lineRule="exact"/>
              <w:ind w:leftChars="183" w:left="637" w:hangingChars="99" w:hanging="198"/>
              <w:rPr>
                <w:rFonts w:hAnsi="標楷體"/>
                <w:kern w:val="0"/>
                <w:sz w:val="20"/>
              </w:rPr>
            </w:pPr>
            <w:r w:rsidRPr="00C769EC">
              <w:rPr>
                <w:rFonts w:hAnsi="標楷體"/>
                <w:kern w:val="0"/>
                <w:sz w:val="20"/>
              </w:rPr>
              <w:t>債券投資</w:t>
            </w:r>
          </w:p>
          <w:p w:rsidR="00B5393B" w:rsidRPr="00C769EC" w:rsidRDefault="00B5393B" w:rsidP="00D54EB6">
            <w:pPr>
              <w:spacing w:line="220" w:lineRule="exact"/>
              <w:ind w:leftChars="84" w:left="440" w:rightChars="-8" w:right="-19" w:hangingChars="119" w:hanging="238"/>
              <w:rPr>
                <w:rFonts w:hAnsi="標楷體"/>
                <w:kern w:val="0"/>
                <w:sz w:val="20"/>
              </w:rPr>
            </w:pPr>
            <w:r w:rsidRPr="00C769EC">
              <w:rPr>
                <w:rFonts w:hAnsi="標楷體" w:hint="eastAsia"/>
                <w:kern w:val="0"/>
                <w:sz w:val="20"/>
              </w:rPr>
              <w:t>投資性不動產</w:t>
            </w:r>
            <w:r w:rsidR="00344DAF" w:rsidRPr="00B60BBF">
              <w:rPr>
                <w:rFonts w:hAnsi="標楷體" w:hint="eastAsia"/>
                <w:kern w:val="0"/>
                <w:sz w:val="20"/>
              </w:rPr>
              <w:t>(</w:t>
            </w:r>
            <w:proofErr w:type="gramStart"/>
            <w:r w:rsidR="00344DAF" w:rsidRPr="00B60BBF">
              <w:rPr>
                <w:rFonts w:hAnsi="標楷體" w:hint="eastAsia"/>
                <w:kern w:val="0"/>
                <w:sz w:val="20"/>
              </w:rPr>
              <w:t>註</w:t>
            </w:r>
            <w:proofErr w:type="gramEnd"/>
            <w:r w:rsidR="00344DAF" w:rsidRPr="00B60BBF">
              <w:rPr>
                <w:rFonts w:hAnsi="標楷體" w:hint="eastAsia"/>
                <w:kern w:val="0"/>
                <w:sz w:val="20"/>
              </w:rPr>
              <w:t>)</w:t>
            </w:r>
          </w:p>
          <w:p w:rsidR="00B5393B" w:rsidRPr="00C769EC" w:rsidRDefault="00B5393B" w:rsidP="00D54EB6">
            <w:pPr>
              <w:pStyle w:val="af9"/>
              <w:spacing w:line="220" w:lineRule="exact"/>
              <w:ind w:leftChars="40" w:left="96"/>
              <w:rPr>
                <w:rFonts w:hAnsi="標楷體"/>
                <w:bCs/>
                <w:kern w:val="0"/>
                <w:sz w:val="20"/>
                <w:u w:val="single"/>
              </w:rPr>
            </w:pPr>
            <w:r w:rsidRPr="00C769EC">
              <w:rPr>
                <w:rFonts w:hAnsi="標楷體"/>
                <w:bCs/>
                <w:kern w:val="0"/>
                <w:sz w:val="20"/>
                <w:u w:val="single"/>
              </w:rPr>
              <w:t>負債</w:t>
            </w:r>
          </w:p>
          <w:p w:rsidR="00B5393B" w:rsidRPr="00C769EC" w:rsidRDefault="00B5393B" w:rsidP="00D54EB6">
            <w:pPr>
              <w:spacing w:line="220" w:lineRule="exact"/>
              <w:ind w:leftChars="84" w:left="440" w:rightChars="-8" w:right="-19" w:hangingChars="119" w:hanging="238"/>
              <w:rPr>
                <w:rFonts w:hAnsi="標楷體"/>
                <w:kern w:val="0"/>
                <w:sz w:val="20"/>
              </w:rPr>
            </w:pPr>
            <w:r w:rsidRPr="00C769EC">
              <w:rPr>
                <w:rFonts w:hAnsi="標楷體"/>
                <w:kern w:val="0"/>
                <w:sz w:val="20"/>
              </w:rPr>
              <w:t>透過損益按公允價值衡量之金融負債</w:t>
            </w:r>
          </w:p>
          <w:p w:rsidR="00B5393B" w:rsidRPr="00C769EC" w:rsidRDefault="00B5393B" w:rsidP="00D54EB6">
            <w:pPr>
              <w:spacing w:line="220" w:lineRule="exact"/>
              <w:ind w:leftChars="183" w:left="637" w:hangingChars="99" w:hanging="198"/>
              <w:rPr>
                <w:rFonts w:hAnsi="標楷體"/>
                <w:kern w:val="0"/>
                <w:sz w:val="20"/>
              </w:rPr>
            </w:pPr>
            <w:r w:rsidRPr="00C769EC">
              <w:rPr>
                <w:rFonts w:hAnsi="標楷體"/>
                <w:kern w:val="0"/>
                <w:sz w:val="20"/>
              </w:rPr>
              <w:t>持有供交易之金融負債</w:t>
            </w:r>
          </w:p>
          <w:p w:rsidR="00B5393B" w:rsidRPr="00C769EC" w:rsidRDefault="00B5393B" w:rsidP="00D54EB6">
            <w:pPr>
              <w:spacing w:line="220" w:lineRule="exact"/>
              <w:ind w:leftChars="183" w:left="637" w:hangingChars="99" w:hanging="198"/>
              <w:rPr>
                <w:rFonts w:hAnsi="標楷體"/>
                <w:kern w:val="0"/>
                <w:sz w:val="20"/>
              </w:rPr>
            </w:pPr>
            <w:r w:rsidRPr="00C769EC">
              <w:rPr>
                <w:rFonts w:hAnsi="標楷體"/>
                <w:kern w:val="0"/>
                <w:sz w:val="20"/>
              </w:rPr>
              <w:t>原始認列時指定透過損益按公允價值衡量之金融負債</w:t>
            </w:r>
          </w:p>
          <w:p w:rsidR="00B5393B" w:rsidRPr="00B60BBF" w:rsidRDefault="00344DAF" w:rsidP="00D54EB6">
            <w:pPr>
              <w:spacing w:line="220" w:lineRule="exact"/>
              <w:rPr>
                <w:rFonts w:hAnsi="標楷體"/>
                <w:b/>
                <w:bCs/>
                <w:kern w:val="0"/>
                <w:sz w:val="20"/>
                <w:u w:val="single"/>
              </w:rPr>
            </w:pPr>
            <w:r w:rsidRPr="00B60BBF">
              <w:rPr>
                <w:rFonts w:hAnsi="標楷體" w:hint="eastAsia"/>
                <w:b/>
                <w:bCs/>
                <w:kern w:val="0"/>
                <w:sz w:val="20"/>
                <w:u w:val="single"/>
              </w:rPr>
              <w:t>重複性</w:t>
            </w:r>
            <w:r w:rsidR="00B5393B" w:rsidRPr="00B60BBF">
              <w:rPr>
                <w:rFonts w:hAnsi="標楷體"/>
                <w:b/>
                <w:bCs/>
                <w:kern w:val="0"/>
                <w:sz w:val="20"/>
                <w:u w:val="single"/>
              </w:rPr>
              <w:t>衍生</w:t>
            </w:r>
            <w:r w:rsidRPr="00B60BBF">
              <w:rPr>
                <w:rFonts w:hAnsi="標楷體" w:hint="eastAsia"/>
                <w:b/>
                <w:bCs/>
                <w:kern w:val="0"/>
                <w:sz w:val="20"/>
                <w:u w:val="single"/>
              </w:rPr>
              <w:t>金融</w:t>
            </w:r>
            <w:r w:rsidR="00B5393B" w:rsidRPr="00B60BBF">
              <w:rPr>
                <w:rFonts w:hAnsi="標楷體" w:hint="eastAsia"/>
                <w:b/>
                <w:bCs/>
                <w:kern w:val="0"/>
                <w:sz w:val="20"/>
                <w:u w:val="single"/>
              </w:rPr>
              <w:t>資產及負債</w:t>
            </w:r>
          </w:p>
          <w:p w:rsidR="00B5393B" w:rsidRPr="00C769EC" w:rsidRDefault="00B5393B" w:rsidP="00D54EB6">
            <w:pPr>
              <w:pStyle w:val="af9"/>
              <w:spacing w:line="220" w:lineRule="exact"/>
              <w:ind w:leftChars="40" w:left="96"/>
              <w:rPr>
                <w:rFonts w:hAnsi="標楷體"/>
                <w:bCs/>
                <w:kern w:val="0"/>
                <w:sz w:val="20"/>
                <w:u w:val="single"/>
              </w:rPr>
            </w:pPr>
            <w:r w:rsidRPr="00C769EC">
              <w:rPr>
                <w:rFonts w:hAnsi="標楷體"/>
                <w:bCs/>
                <w:kern w:val="0"/>
                <w:sz w:val="20"/>
                <w:u w:val="single"/>
              </w:rPr>
              <w:t>資產</w:t>
            </w:r>
          </w:p>
          <w:p w:rsidR="00B5393B" w:rsidRPr="00C769EC" w:rsidRDefault="00B5393B" w:rsidP="00D54EB6">
            <w:pPr>
              <w:spacing w:line="220" w:lineRule="exact"/>
              <w:ind w:leftChars="84" w:left="440" w:rightChars="-8" w:right="-19" w:hangingChars="119" w:hanging="238"/>
              <w:rPr>
                <w:rFonts w:hAnsi="標楷體"/>
                <w:kern w:val="0"/>
                <w:sz w:val="20"/>
              </w:rPr>
            </w:pPr>
            <w:r w:rsidRPr="00C769EC">
              <w:rPr>
                <w:rFonts w:hAnsi="標楷體"/>
                <w:kern w:val="0"/>
                <w:sz w:val="20"/>
              </w:rPr>
              <w:t>透過損益按公允價值衡量之金融資產</w:t>
            </w:r>
          </w:p>
          <w:p w:rsidR="00B5393B" w:rsidRPr="00C769EC" w:rsidRDefault="00B5393B" w:rsidP="00D54EB6">
            <w:pPr>
              <w:spacing w:line="220" w:lineRule="exact"/>
              <w:ind w:leftChars="84" w:left="440" w:rightChars="-8" w:right="-19" w:hangingChars="119" w:hanging="238"/>
              <w:rPr>
                <w:rFonts w:hAnsi="標楷體"/>
                <w:kern w:val="0"/>
                <w:sz w:val="20"/>
              </w:rPr>
            </w:pPr>
            <w:r w:rsidRPr="00C769EC">
              <w:rPr>
                <w:rFonts w:hAnsi="標楷體"/>
                <w:kern w:val="0"/>
                <w:sz w:val="20"/>
              </w:rPr>
              <w:t>避險之衍生金融資產</w:t>
            </w:r>
          </w:p>
          <w:p w:rsidR="00B5393B" w:rsidRPr="00C769EC" w:rsidRDefault="00B5393B" w:rsidP="00D54EB6">
            <w:pPr>
              <w:pStyle w:val="af9"/>
              <w:spacing w:line="220" w:lineRule="exact"/>
              <w:ind w:leftChars="40" w:left="96"/>
              <w:rPr>
                <w:rFonts w:hAnsi="標楷體"/>
                <w:bCs/>
                <w:kern w:val="0"/>
                <w:sz w:val="20"/>
                <w:u w:val="single"/>
              </w:rPr>
            </w:pPr>
            <w:r w:rsidRPr="00C769EC">
              <w:rPr>
                <w:rFonts w:hAnsi="標楷體"/>
                <w:bCs/>
                <w:kern w:val="0"/>
                <w:sz w:val="20"/>
                <w:u w:val="single"/>
              </w:rPr>
              <w:t>負債</w:t>
            </w:r>
          </w:p>
          <w:p w:rsidR="00B5393B" w:rsidRPr="00C769EC" w:rsidRDefault="00B5393B" w:rsidP="00D54EB6">
            <w:pPr>
              <w:spacing w:line="220" w:lineRule="exact"/>
              <w:ind w:leftChars="84" w:left="440" w:rightChars="-8" w:right="-19" w:hangingChars="119" w:hanging="238"/>
              <w:rPr>
                <w:rFonts w:hAnsi="標楷體"/>
                <w:kern w:val="0"/>
                <w:sz w:val="20"/>
              </w:rPr>
            </w:pPr>
            <w:r w:rsidRPr="00C769EC">
              <w:rPr>
                <w:rFonts w:hAnsi="標楷體"/>
                <w:kern w:val="0"/>
                <w:sz w:val="20"/>
              </w:rPr>
              <w:t>透過損益按公允價值衡量之金融負債</w:t>
            </w:r>
          </w:p>
          <w:p w:rsidR="00B5393B" w:rsidRDefault="00B5393B" w:rsidP="00D54EB6">
            <w:pPr>
              <w:spacing w:line="220" w:lineRule="exact"/>
              <w:ind w:leftChars="84" w:left="440" w:rightChars="-8" w:right="-19" w:hangingChars="119" w:hanging="238"/>
              <w:rPr>
                <w:rFonts w:hAnsi="標楷體"/>
                <w:kern w:val="0"/>
                <w:sz w:val="20"/>
              </w:rPr>
            </w:pPr>
            <w:r w:rsidRPr="00C769EC">
              <w:rPr>
                <w:rFonts w:hAnsi="標楷體"/>
                <w:kern w:val="0"/>
                <w:sz w:val="20"/>
              </w:rPr>
              <w:t>避險之衍生金融負債</w:t>
            </w:r>
          </w:p>
          <w:p w:rsidR="00344DAF" w:rsidRPr="00B60BBF" w:rsidRDefault="00344DAF" w:rsidP="00344DAF">
            <w:pPr>
              <w:spacing w:line="220" w:lineRule="exact"/>
              <w:ind w:rightChars="-8" w:right="-19"/>
              <w:rPr>
                <w:rFonts w:hAnsi="標楷體"/>
                <w:b/>
                <w:kern w:val="0"/>
                <w:sz w:val="20"/>
                <w:u w:val="single"/>
              </w:rPr>
            </w:pPr>
            <w:r w:rsidRPr="00B60BBF">
              <w:rPr>
                <w:rFonts w:hAnsi="標楷體" w:hint="eastAsia"/>
                <w:b/>
                <w:kern w:val="0"/>
                <w:sz w:val="20"/>
                <w:u w:val="single"/>
              </w:rPr>
              <w:t>非重複性資產及負債</w:t>
            </w:r>
          </w:p>
          <w:p w:rsidR="00344DAF" w:rsidRPr="00C769EC" w:rsidRDefault="00344DAF" w:rsidP="00344DAF">
            <w:pPr>
              <w:spacing w:line="220" w:lineRule="exact"/>
              <w:ind w:rightChars="-8" w:right="-19"/>
              <w:rPr>
                <w:rFonts w:hAnsi="標楷體"/>
                <w:kern w:val="0"/>
                <w:sz w:val="20"/>
              </w:rPr>
            </w:pPr>
            <w:r>
              <w:rPr>
                <w:rFonts w:hAnsi="標楷體" w:hint="eastAsia"/>
                <w:kern w:val="0"/>
                <w:sz w:val="20"/>
              </w:rPr>
              <w:t xml:space="preserve">  待出售非金融資產</w:t>
            </w:r>
            <w:r w:rsidRPr="00B60BBF">
              <w:rPr>
                <w:rFonts w:hAnsi="標楷體" w:hint="eastAsia"/>
                <w:kern w:val="0"/>
                <w:sz w:val="20"/>
              </w:rPr>
              <w:t>(</w:t>
            </w:r>
            <w:proofErr w:type="gramStart"/>
            <w:r w:rsidRPr="00B60BBF">
              <w:rPr>
                <w:rFonts w:hAnsi="標楷體" w:hint="eastAsia"/>
                <w:kern w:val="0"/>
                <w:sz w:val="20"/>
              </w:rPr>
              <w:t>註</w:t>
            </w:r>
            <w:proofErr w:type="gramEnd"/>
            <w:r w:rsidRPr="00B60BBF">
              <w:rPr>
                <w:rFonts w:hAnsi="標楷體" w:hint="eastAsia"/>
                <w:kern w:val="0"/>
                <w:sz w:val="20"/>
              </w:rPr>
              <w:t>)</w:t>
            </w:r>
          </w:p>
        </w:tc>
        <w:tc>
          <w:tcPr>
            <w:tcW w:w="704" w:type="dxa"/>
            <w:tcBorders>
              <w:top w:val="single" w:sz="4" w:space="0" w:color="auto"/>
              <w:left w:val="single" w:sz="4" w:space="0" w:color="auto"/>
              <w:bottom w:val="single" w:sz="4" w:space="0" w:color="auto"/>
              <w:right w:val="single" w:sz="4" w:space="0" w:color="auto"/>
            </w:tcBorders>
          </w:tcPr>
          <w:p w:rsidR="00B5393B" w:rsidRPr="00C769EC" w:rsidRDefault="00B5393B" w:rsidP="00D54EB6">
            <w:pPr>
              <w:spacing w:line="260" w:lineRule="exact"/>
              <w:jc w:val="right"/>
              <w:rPr>
                <w:rFonts w:hAnsi="標楷體"/>
                <w:kern w:val="0"/>
                <w:sz w:val="20"/>
              </w:rPr>
            </w:pPr>
          </w:p>
        </w:tc>
        <w:tc>
          <w:tcPr>
            <w:tcW w:w="1134" w:type="dxa"/>
            <w:tcBorders>
              <w:top w:val="single" w:sz="4" w:space="0" w:color="auto"/>
              <w:left w:val="single" w:sz="4" w:space="0" w:color="auto"/>
              <w:bottom w:val="single" w:sz="4" w:space="0" w:color="auto"/>
              <w:right w:val="single" w:sz="4" w:space="0" w:color="auto"/>
            </w:tcBorders>
          </w:tcPr>
          <w:p w:rsidR="00B5393B" w:rsidRDefault="00B5393B" w:rsidP="00D54EB6">
            <w:pPr>
              <w:spacing w:line="260" w:lineRule="exact"/>
              <w:jc w:val="right"/>
              <w:rPr>
                <w:rFonts w:hAnsi="標楷體"/>
                <w:kern w:val="0"/>
                <w:sz w:val="20"/>
              </w:rPr>
            </w:pPr>
          </w:p>
          <w:p w:rsidR="00BC4008" w:rsidRPr="00C769EC" w:rsidRDefault="00BC4008" w:rsidP="00D54EB6">
            <w:pPr>
              <w:spacing w:line="260" w:lineRule="exact"/>
              <w:jc w:val="right"/>
              <w:rPr>
                <w:rFonts w:hAnsi="標楷體"/>
                <w:kern w:val="0"/>
                <w:sz w:val="20"/>
              </w:rPr>
            </w:pPr>
          </w:p>
        </w:tc>
        <w:tc>
          <w:tcPr>
            <w:tcW w:w="1134" w:type="dxa"/>
            <w:tcBorders>
              <w:top w:val="single" w:sz="4" w:space="0" w:color="auto"/>
              <w:left w:val="single" w:sz="4" w:space="0" w:color="auto"/>
              <w:bottom w:val="single" w:sz="4" w:space="0" w:color="auto"/>
              <w:right w:val="single" w:sz="4" w:space="0" w:color="auto"/>
            </w:tcBorders>
          </w:tcPr>
          <w:p w:rsidR="00B5393B" w:rsidRPr="00C769EC" w:rsidRDefault="00B5393B" w:rsidP="00D54EB6">
            <w:pPr>
              <w:pStyle w:val="af6"/>
              <w:spacing w:line="260" w:lineRule="exact"/>
              <w:jc w:val="right"/>
              <w:rPr>
                <w:rFonts w:ascii="標楷體" w:eastAsia="標楷體" w:hAnsi="標楷體"/>
                <w:kern w:val="0"/>
              </w:rPr>
            </w:pPr>
          </w:p>
        </w:tc>
        <w:tc>
          <w:tcPr>
            <w:tcW w:w="1134" w:type="dxa"/>
            <w:tcBorders>
              <w:top w:val="single" w:sz="4" w:space="0" w:color="auto"/>
              <w:left w:val="single" w:sz="4" w:space="0" w:color="auto"/>
              <w:bottom w:val="single" w:sz="4" w:space="0" w:color="auto"/>
              <w:right w:val="single" w:sz="4" w:space="0" w:color="auto"/>
            </w:tcBorders>
          </w:tcPr>
          <w:p w:rsidR="00B5393B" w:rsidRPr="00C769EC" w:rsidRDefault="00B5393B" w:rsidP="00D54EB6">
            <w:pPr>
              <w:pStyle w:val="af6"/>
              <w:spacing w:line="260" w:lineRule="exact"/>
              <w:jc w:val="right"/>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tcPr>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D54EB6">
            <w:pPr>
              <w:spacing w:line="260" w:lineRule="exact"/>
              <w:jc w:val="right"/>
              <w:rPr>
                <w:rFonts w:hAnsi="標楷體"/>
                <w:kern w:val="0"/>
                <w:sz w:val="20"/>
              </w:rPr>
            </w:pPr>
          </w:p>
          <w:p w:rsidR="00BC4008" w:rsidRDefault="00BC4008" w:rsidP="00B60BBF">
            <w:pPr>
              <w:spacing w:line="260" w:lineRule="exact"/>
              <w:jc w:val="center"/>
              <w:rPr>
                <w:rFonts w:hAnsi="標楷體"/>
                <w:kern w:val="0"/>
                <w:sz w:val="20"/>
              </w:rPr>
            </w:pPr>
            <w:r w:rsidRPr="00B60BBF">
              <w:rPr>
                <w:rFonts w:hAnsi="標楷體" w:hint="eastAsia"/>
                <w:kern w:val="0"/>
                <w:sz w:val="20"/>
              </w:rPr>
              <w:t>NA</w:t>
            </w: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C4008" w:rsidRDefault="00BC4008" w:rsidP="00BC4008">
            <w:pPr>
              <w:spacing w:line="260" w:lineRule="exact"/>
              <w:jc w:val="center"/>
              <w:rPr>
                <w:rFonts w:hAnsi="標楷體"/>
                <w:kern w:val="0"/>
                <w:sz w:val="20"/>
              </w:rPr>
            </w:pPr>
          </w:p>
          <w:p w:rsidR="00B60BBF" w:rsidRDefault="00B60BBF" w:rsidP="00BC4008">
            <w:pPr>
              <w:spacing w:line="260" w:lineRule="exact"/>
              <w:jc w:val="center"/>
              <w:rPr>
                <w:rFonts w:hAnsi="標楷體"/>
                <w:kern w:val="0"/>
                <w:sz w:val="20"/>
                <w:highlight w:val="yellow"/>
              </w:rPr>
            </w:pPr>
          </w:p>
          <w:p w:rsidR="00B5393B" w:rsidRPr="00C769EC" w:rsidRDefault="00BC4008" w:rsidP="00BC4008">
            <w:pPr>
              <w:spacing w:line="260" w:lineRule="exact"/>
              <w:jc w:val="center"/>
              <w:rPr>
                <w:rFonts w:hAnsi="標楷體"/>
                <w:kern w:val="0"/>
                <w:sz w:val="20"/>
              </w:rPr>
            </w:pPr>
            <w:r w:rsidRPr="00B60BBF">
              <w:rPr>
                <w:rFonts w:hAnsi="標楷體" w:hint="eastAsia"/>
                <w:kern w:val="0"/>
                <w:sz w:val="20"/>
              </w:rPr>
              <w:t>NA</w:t>
            </w:r>
          </w:p>
        </w:tc>
        <w:tc>
          <w:tcPr>
            <w:tcW w:w="1134" w:type="dxa"/>
            <w:tcBorders>
              <w:top w:val="single" w:sz="4" w:space="0" w:color="auto"/>
              <w:left w:val="single" w:sz="4" w:space="0" w:color="auto"/>
              <w:bottom w:val="single" w:sz="4" w:space="0" w:color="auto"/>
              <w:right w:val="single" w:sz="4" w:space="0" w:color="auto"/>
            </w:tcBorders>
          </w:tcPr>
          <w:p w:rsidR="00B5393B" w:rsidRPr="00C769EC" w:rsidRDefault="00B5393B" w:rsidP="00D54EB6">
            <w:pPr>
              <w:spacing w:line="260" w:lineRule="exact"/>
              <w:jc w:val="right"/>
              <w:rPr>
                <w:rFonts w:hAnsi="標楷體"/>
                <w:kern w:val="0"/>
                <w:sz w:val="20"/>
              </w:rPr>
            </w:pPr>
          </w:p>
        </w:tc>
        <w:tc>
          <w:tcPr>
            <w:tcW w:w="1134" w:type="dxa"/>
            <w:tcBorders>
              <w:top w:val="single" w:sz="4" w:space="0" w:color="auto"/>
              <w:left w:val="single" w:sz="4" w:space="0" w:color="auto"/>
              <w:bottom w:val="single" w:sz="4" w:space="0" w:color="auto"/>
              <w:right w:val="single" w:sz="4" w:space="0" w:color="auto"/>
            </w:tcBorders>
          </w:tcPr>
          <w:p w:rsidR="00B5393B" w:rsidRPr="00C769EC" w:rsidRDefault="00B5393B" w:rsidP="00D54EB6">
            <w:pPr>
              <w:pStyle w:val="af6"/>
              <w:spacing w:line="260" w:lineRule="exact"/>
              <w:jc w:val="right"/>
              <w:rPr>
                <w:rFonts w:ascii="標楷體" w:eastAsia="標楷體" w:hAnsi="標楷體"/>
                <w:kern w:val="0"/>
              </w:rPr>
            </w:pPr>
          </w:p>
        </w:tc>
        <w:tc>
          <w:tcPr>
            <w:tcW w:w="1417" w:type="dxa"/>
            <w:tcBorders>
              <w:top w:val="single" w:sz="4" w:space="0" w:color="auto"/>
              <w:left w:val="single" w:sz="4" w:space="0" w:color="auto"/>
              <w:bottom w:val="single" w:sz="4" w:space="0" w:color="auto"/>
              <w:right w:val="single" w:sz="4" w:space="0" w:color="auto"/>
            </w:tcBorders>
          </w:tcPr>
          <w:p w:rsidR="00B5393B" w:rsidRPr="00C769EC" w:rsidRDefault="00B5393B" w:rsidP="00D54EB6">
            <w:pPr>
              <w:pStyle w:val="af6"/>
              <w:spacing w:line="260" w:lineRule="exact"/>
              <w:jc w:val="right"/>
              <w:rPr>
                <w:rFonts w:ascii="標楷體" w:eastAsia="標楷體" w:hAnsi="標楷體"/>
                <w:kern w:val="0"/>
              </w:rPr>
            </w:pPr>
          </w:p>
        </w:tc>
      </w:tr>
      <w:tr w:rsidR="00E43702" w:rsidRPr="00C769EC" w:rsidTr="00A37C7D">
        <w:tblPrEx>
          <w:tblBorders>
            <w:top w:val="single" w:sz="4" w:space="0" w:color="auto"/>
            <w:left w:val="single" w:sz="4" w:space="0" w:color="auto"/>
            <w:bottom w:val="single" w:sz="4" w:space="0" w:color="auto"/>
            <w:right w:val="single" w:sz="4" w:space="0" w:color="auto"/>
          </w:tblBorders>
          <w:tblLook w:val="0000"/>
        </w:tblPrEx>
        <w:trPr>
          <w:gridBefore w:val="1"/>
          <w:wBefore w:w="8" w:type="dxa"/>
        </w:trPr>
        <w:tc>
          <w:tcPr>
            <w:tcW w:w="2380" w:type="dxa"/>
            <w:gridSpan w:val="3"/>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pStyle w:val="af9"/>
              <w:spacing w:line="260" w:lineRule="exact"/>
              <w:ind w:leftChars="-1" w:left="198" w:hangingChars="100" w:hanging="200"/>
              <w:rPr>
                <w:rFonts w:hAnsi="標楷體"/>
                <w:kern w:val="0"/>
                <w:sz w:val="20"/>
              </w:rPr>
            </w:pPr>
            <w:r w:rsidRPr="00C769EC">
              <w:rPr>
                <w:rFonts w:hAnsi="標楷體"/>
                <w:kern w:val="0"/>
                <w:sz w:val="20"/>
              </w:rPr>
              <w:t>合計</w:t>
            </w:r>
          </w:p>
        </w:tc>
        <w:tc>
          <w:tcPr>
            <w:tcW w:w="70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spacing w:line="260" w:lineRule="exact"/>
              <w:jc w:val="both"/>
              <w:rPr>
                <w:rFonts w:hAnsi="標楷體"/>
                <w:kern w:val="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spacing w:line="260" w:lineRule="exact"/>
              <w:jc w:val="both"/>
              <w:rPr>
                <w:rFonts w:hAnsi="標楷體"/>
                <w:kern w:val="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pStyle w:val="af6"/>
              <w:spacing w:line="260" w:lineRule="exact"/>
              <w:jc w:val="both"/>
              <w:rPr>
                <w:rFonts w:ascii="標楷體" w:eastAsia="標楷體" w:hAnsi="標楷體"/>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pStyle w:val="af6"/>
              <w:spacing w:line="260" w:lineRule="exact"/>
              <w:jc w:val="both"/>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spacing w:line="260" w:lineRule="exact"/>
              <w:jc w:val="both"/>
              <w:rPr>
                <w:rFonts w:hAnsi="標楷體"/>
                <w:kern w:val="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spacing w:line="260" w:lineRule="exact"/>
              <w:jc w:val="both"/>
              <w:rPr>
                <w:rFonts w:hAnsi="標楷體"/>
                <w:kern w:val="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pStyle w:val="af6"/>
              <w:spacing w:line="260" w:lineRule="exact"/>
              <w:jc w:val="both"/>
              <w:rPr>
                <w:rFonts w:ascii="標楷體" w:eastAsia="標楷體" w:hAnsi="標楷體"/>
                <w:kern w:val="0"/>
              </w:rPr>
            </w:pPr>
          </w:p>
        </w:tc>
        <w:tc>
          <w:tcPr>
            <w:tcW w:w="1417" w:type="dxa"/>
            <w:tcBorders>
              <w:top w:val="single" w:sz="4" w:space="0" w:color="auto"/>
              <w:left w:val="single" w:sz="4" w:space="0" w:color="auto"/>
              <w:bottom w:val="single" w:sz="4" w:space="0" w:color="auto"/>
              <w:right w:val="single" w:sz="4" w:space="0" w:color="auto"/>
            </w:tcBorders>
            <w:vAlign w:val="center"/>
          </w:tcPr>
          <w:p w:rsidR="00B5393B" w:rsidRPr="00C769EC" w:rsidRDefault="00B5393B" w:rsidP="00D54EB6">
            <w:pPr>
              <w:pStyle w:val="af6"/>
              <w:spacing w:line="260" w:lineRule="exact"/>
              <w:jc w:val="both"/>
              <w:rPr>
                <w:rFonts w:ascii="標楷體" w:eastAsia="標楷體" w:hAnsi="標楷體"/>
                <w:kern w:val="0"/>
              </w:rPr>
            </w:pPr>
          </w:p>
        </w:tc>
      </w:tr>
      <w:tr w:rsidR="00344DAF" w:rsidRPr="00C769EC" w:rsidTr="00D54EB6">
        <w:tblPrEx>
          <w:tblBorders>
            <w:top w:val="single" w:sz="4" w:space="0" w:color="auto"/>
            <w:left w:val="single" w:sz="4" w:space="0" w:color="auto"/>
            <w:bottom w:val="single" w:sz="4" w:space="0" w:color="auto"/>
            <w:right w:val="single" w:sz="4" w:space="0" w:color="auto"/>
          </w:tblBorders>
          <w:tblLook w:val="0000"/>
        </w:tblPrEx>
        <w:trPr>
          <w:gridBefore w:val="1"/>
          <w:wBefore w:w="8" w:type="dxa"/>
        </w:trPr>
        <w:tc>
          <w:tcPr>
            <w:tcW w:w="10880" w:type="dxa"/>
            <w:gridSpan w:val="11"/>
            <w:tcBorders>
              <w:top w:val="single" w:sz="4" w:space="0" w:color="auto"/>
              <w:left w:val="single" w:sz="4" w:space="0" w:color="auto"/>
              <w:bottom w:val="single" w:sz="4" w:space="0" w:color="auto"/>
              <w:right w:val="single" w:sz="4" w:space="0" w:color="auto"/>
            </w:tcBorders>
            <w:vAlign w:val="center"/>
          </w:tcPr>
          <w:p w:rsidR="00344DAF" w:rsidRPr="00344DAF" w:rsidRDefault="00344DAF" w:rsidP="00FB3E46">
            <w:pPr>
              <w:pStyle w:val="af6"/>
              <w:spacing w:line="260" w:lineRule="exact"/>
              <w:jc w:val="both"/>
              <w:rPr>
                <w:rFonts w:ascii="標楷體" w:eastAsia="標楷體" w:hAnsi="標楷體"/>
                <w:i/>
                <w:color w:val="0070C0"/>
                <w:kern w:val="0"/>
              </w:rPr>
            </w:pPr>
            <w:proofErr w:type="gramStart"/>
            <w:r w:rsidRPr="00B60BBF">
              <w:rPr>
                <w:rFonts w:ascii="標楷體" w:eastAsia="標楷體" w:hAnsi="標楷體" w:hint="eastAsia"/>
                <w:i/>
                <w:color w:val="0070C0"/>
                <w:kern w:val="0"/>
              </w:rPr>
              <w:t>註</w:t>
            </w:r>
            <w:proofErr w:type="gramEnd"/>
            <w:r w:rsidRPr="00B60BBF">
              <w:rPr>
                <w:rFonts w:ascii="標楷體" w:eastAsia="標楷體" w:hAnsi="標楷體" w:hint="eastAsia"/>
                <w:i/>
                <w:color w:val="0070C0"/>
                <w:kern w:val="0"/>
              </w:rPr>
              <w:t>：</w:t>
            </w:r>
            <w:r w:rsidR="00FB3E46" w:rsidRPr="00B60BBF">
              <w:rPr>
                <w:rFonts w:ascii="標楷體" w:eastAsia="標楷體" w:hAnsi="標楷體" w:hint="eastAsia"/>
                <w:i/>
                <w:color w:val="0070C0"/>
                <w:kern w:val="0"/>
              </w:rPr>
              <w:t>依據IFRS 13.C3規定，無須提供初次適用前之期間的比較資訊，惟依據2010年版之IFRS 7.27A規定，金融工具即須</w:t>
            </w:r>
            <w:r w:rsidR="00FB3E46" w:rsidRPr="00B60BBF">
              <w:rPr>
                <w:rFonts w:ascii="標楷體" w:eastAsia="標楷體" w:hAnsi="標楷體" w:hint="eastAsia"/>
                <w:i/>
                <w:color w:val="0070C0"/>
                <w:kern w:val="0"/>
              </w:rPr>
              <w:lastRenderedPageBreak/>
              <w:t>揭露此公允價值</w:t>
            </w:r>
            <w:proofErr w:type="gramStart"/>
            <w:r w:rsidR="00FB3E46" w:rsidRPr="00B60BBF">
              <w:rPr>
                <w:rFonts w:ascii="標楷體" w:eastAsia="標楷體" w:hAnsi="標楷體" w:hint="eastAsia"/>
                <w:i/>
                <w:color w:val="0070C0"/>
                <w:kern w:val="0"/>
              </w:rPr>
              <w:t>三</w:t>
            </w:r>
            <w:proofErr w:type="gramEnd"/>
            <w:r w:rsidR="00FB3E46" w:rsidRPr="00B60BBF">
              <w:rPr>
                <w:rFonts w:ascii="標楷體" w:eastAsia="標楷體" w:hAnsi="標楷體" w:hint="eastAsia"/>
                <w:i/>
                <w:color w:val="0070C0"/>
                <w:kern w:val="0"/>
              </w:rPr>
              <w:t>等級資訊。因此屬非金融工具之項目之投資性不動產及待出售非金融資產於上表範本之前期註記「不適用」)</w:t>
            </w:r>
            <w:r w:rsidRPr="00B60BBF">
              <w:rPr>
                <w:rFonts w:ascii="標楷體" w:eastAsia="標楷體" w:hAnsi="標楷體" w:hint="eastAsia"/>
                <w:i/>
                <w:color w:val="0070C0"/>
                <w:kern w:val="0"/>
              </w:rPr>
              <w:t>。</w:t>
            </w:r>
          </w:p>
        </w:tc>
      </w:tr>
    </w:tbl>
    <w:p w:rsidR="00B5393B" w:rsidRPr="00C769EC" w:rsidRDefault="00B5393B" w:rsidP="00B5393B">
      <w:pPr>
        <w:widowControl/>
        <w:rPr>
          <w:rFonts w:hAnsi="標楷體"/>
        </w:rPr>
      </w:pPr>
    </w:p>
    <w:tbl>
      <w:tblPr>
        <w:tblW w:w="10912" w:type="dxa"/>
        <w:tblInd w:w="-539" w:type="dxa"/>
        <w:tblLayout w:type="fixed"/>
        <w:tblCellMar>
          <w:left w:w="28" w:type="dxa"/>
          <w:right w:w="28" w:type="dxa"/>
        </w:tblCellMar>
        <w:tblLook w:val="01E0"/>
      </w:tblPr>
      <w:tblGrid>
        <w:gridCol w:w="27"/>
        <w:gridCol w:w="1260"/>
        <w:gridCol w:w="2122"/>
        <w:gridCol w:w="840"/>
        <w:gridCol w:w="812"/>
        <w:gridCol w:w="966"/>
        <w:gridCol w:w="919"/>
        <w:gridCol w:w="992"/>
        <w:gridCol w:w="993"/>
        <w:gridCol w:w="992"/>
        <w:gridCol w:w="989"/>
      </w:tblGrid>
      <w:tr w:rsidR="00B5393B" w:rsidRPr="00C769EC" w:rsidTr="00A37C7D">
        <w:trPr>
          <w:gridBefore w:val="1"/>
          <w:wBefore w:w="27" w:type="dxa"/>
        </w:trPr>
        <w:tc>
          <w:tcPr>
            <w:tcW w:w="1260" w:type="dxa"/>
          </w:tcPr>
          <w:p w:rsidR="00B5393B" w:rsidRPr="00C769EC" w:rsidRDefault="00B5393B" w:rsidP="007C1361">
            <w:pPr>
              <w:snapToGrid w:val="0"/>
              <w:rPr>
                <w:rFonts w:hAnsi="標楷體" w:cs="Arial"/>
                <w:sz w:val="16"/>
                <w:szCs w:val="16"/>
              </w:rPr>
            </w:pPr>
            <w:r w:rsidRPr="00C769EC">
              <w:rPr>
                <w:rFonts w:hAnsi="標楷體" w:cs="Arial"/>
                <w:sz w:val="16"/>
                <w:szCs w:val="16"/>
              </w:rPr>
              <w:t>IFRS13</w:t>
            </w:r>
            <w:r w:rsidR="007C1361" w:rsidRPr="00C769EC">
              <w:rPr>
                <w:rFonts w:hAnsi="標楷體" w:cs="Arial" w:hint="eastAsia"/>
                <w:sz w:val="16"/>
                <w:szCs w:val="16"/>
              </w:rPr>
              <w:t>.</w:t>
            </w:r>
            <w:r w:rsidRPr="00C769EC">
              <w:rPr>
                <w:rFonts w:hAnsi="標楷體" w:cs="Arial"/>
                <w:sz w:val="16"/>
                <w:szCs w:val="16"/>
              </w:rPr>
              <w:t>93(c)</w:t>
            </w:r>
            <w:r w:rsidRPr="00C769EC">
              <w:rPr>
                <w:rFonts w:hAnsi="標楷體" w:cs="Arial" w:hint="eastAsia"/>
                <w:sz w:val="16"/>
                <w:szCs w:val="16"/>
              </w:rPr>
              <w:t>, IFRS13</w:t>
            </w:r>
            <w:r w:rsidR="007C1361" w:rsidRPr="00C769EC">
              <w:rPr>
                <w:rFonts w:hAnsi="標楷體" w:cs="Arial" w:hint="eastAsia"/>
                <w:sz w:val="16"/>
                <w:szCs w:val="16"/>
              </w:rPr>
              <w:t>.</w:t>
            </w:r>
            <w:r w:rsidRPr="00C769EC">
              <w:rPr>
                <w:rFonts w:hAnsi="標楷體" w:cs="Arial" w:hint="eastAsia"/>
                <w:sz w:val="16"/>
                <w:szCs w:val="16"/>
              </w:rPr>
              <w:t>95</w:t>
            </w:r>
          </w:p>
        </w:tc>
        <w:tc>
          <w:tcPr>
            <w:tcW w:w="9625" w:type="dxa"/>
            <w:gridSpan w:val="9"/>
          </w:tcPr>
          <w:p w:rsidR="00B5393B" w:rsidRPr="00C769EC" w:rsidRDefault="00B5393B" w:rsidP="00B5393B">
            <w:pPr>
              <w:numPr>
                <w:ilvl w:val="2"/>
                <w:numId w:val="17"/>
              </w:numPr>
              <w:tabs>
                <w:tab w:val="clear" w:pos="1854"/>
              </w:tabs>
              <w:spacing w:before="120" w:after="120"/>
              <w:ind w:left="1450" w:hanging="355"/>
              <w:jc w:val="both"/>
              <w:outlineLvl w:val="3"/>
              <w:rPr>
                <w:rFonts w:hAnsi="標楷體" w:cs="Arial"/>
                <w:sz w:val="32"/>
                <w:szCs w:val="32"/>
                <w:u w:val="single"/>
              </w:rPr>
            </w:pPr>
            <w:r w:rsidRPr="00C769EC">
              <w:rPr>
                <w:rFonts w:hAnsi="標楷體" w:cs="Arial"/>
                <w:sz w:val="32"/>
                <w:szCs w:val="32"/>
                <w:u w:val="single"/>
              </w:rPr>
              <w:t>第一等級與第二等級間之移轉</w:t>
            </w:r>
          </w:p>
        </w:tc>
      </w:tr>
      <w:tr w:rsidR="00B5393B" w:rsidRPr="00C769EC" w:rsidTr="00A37C7D">
        <w:trPr>
          <w:gridBefore w:val="1"/>
          <w:wBefore w:w="27" w:type="dxa"/>
        </w:trPr>
        <w:tc>
          <w:tcPr>
            <w:tcW w:w="1260" w:type="dxa"/>
          </w:tcPr>
          <w:p w:rsidR="00B5393B" w:rsidRPr="00C769EC" w:rsidDel="00723350" w:rsidRDefault="00B5393B" w:rsidP="00D54EB6">
            <w:pPr>
              <w:rPr>
                <w:rFonts w:hAnsi="標楷體" w:cs="Arial"/>
                <w:sz w:val="16"/>
                <w:szCs w:val="16"/>
              </w:rPr>
            </w:pPr>
          </w:p>
        </w:tc>
        <w:tc>
          <w:tcPr>
            <w:tcW w:w="9625" w:type="dxa"/>
            <w:gridSpan w:val="9"/>
          </w:tcPr>
          <w:p w:rsidR="00B5393B" w:rsidRPr="00C769EC" w:rsidDel="00723350" w:rsidRDefault="00072156" w:rsidP="00D54EB6">
            <w:pPr>
              <w:spacing w:before="120" w:after="120"/>
              <w:ind w:left="1520"/>
              <w:jc w:val="both"/>
              <w:outlineLvl w:val="3"/>
              <w:rPr>
                <w:rFonts w:hAnsi="標楷體" w:cs="Arial"/>
                <w:sz w:val="32"/>
                <w:szCs w:val="32"/>
                <w:u w:val="single"/>
              </w:rPr>
            </w:pPr>
            <w:r w:rsidRPr="00C769EC">
              <w:rPr>
                <w:rFonts w:hAnsi="標楷體" w:cs="Arial"/>
                <w:sz w:val="32"/>
                <w:szCs w:val="32"/>
              </w:rPr>
              <w:t>本集團</w:t>
            </w:r>
            <w:r w:rsidR="00B5393B" w:rsidRPr="00C769EC">
              <w:rPr>
                <w:rFonts w:hAnsi="標楷體" w:cs="Arial"/>
                <w:sz w:val="32"/>
                <w:szCs w:val="32"/>
              </w:rPr>
              <w:t>持有之部份新臺幣中央政府債券根據內部風險控管政策評估，判定為非屬活絡市場之債務工具投資，故金額</w:t>
            </w:r>
            <w:r w:rsidR="00B5393B" w:rsidRPr="00C769EC">
              <w:rPr>
                <w:rFonts w:hAnsi="標楷體"/>
                <w:sz w:val="32"/>
                <w:szCs w:val="32"/>
              </w:rPr>
              <w:t>XXX</w:t>
            </w:r>
            <w:r w:rsidR="00B5393B" w:rsidRPr="00C769EC">
              <w:rPr>
                <w:rFonts w:hAnsi="標楷體" w:cs="Arial"/>
                <w:sz w:val="32"/>
                <w:szCs w:val="32"/>
              </w:rPr>
              <w:t>將於本年度由第一等級轉入第二等級。</w:t>
            </w:r>
          </w:p>
        </w:tc>
      </w:tr>
      <w:tr w:rsidR="00B5393B" w:rsidRPr="00C769EC" w:rsidTr="00A37C7D">
        <w:trPr>
          <w:gridBefore w:val="1"/>
          <w:wBefore w:w="27" w:type="dxa"/>
        </w:trPr>
        <w:tc>
          <w:tcPr>
            <w:tcW w:w="1260" w:type="dxa"/>
          </w:tcPr>
          <w:p w:rsidR="00B5393B" w:rsidRPr="00C769EC" w:rsidRDefault="00B5393B" w:rsidP="007C1361">
            <w:pPr>
              <w:rPr>
                <w:rFonts w:hAnsi="標楷體" w:cs="Arial"/>
                <w:sz w:val="16"/>
                <w:szCs w:val="16"/>
              </w:rPr>
            </w:pPr>
            <w:r w:rsidRPr="00C769EC">
              <w:rPr>
                <w:rFonts w:hAnsi="標楷體" w:cs="Arial"/>
                <w:sz w:val="16"/>
                <w:szCs w:val="16"/>
              </w:rPr>
              <w:t>IFRS</w:t>
            </w:r>
            <w:r w:rsidRPr="00C769EC">
              <w:rPr>
                <w:rFonts w:hAnsi="標楷體" w:cs="Arial" w:hint="eastAsia"/>
                <w:sz w:val="16"/>
                <w:szCs w:val="16"/>
              </w:rPr>
              <w:t>13</w:t>
            </w:r>
            <w:r w:rsidR="007C1361" w:rsidRPr="00C769EC">
              <w:rPr>
                <w:rFonts w:hAnsi="標楷體" w:cs="Arial" w:hint="eastAsia"/>
                <w:sz w:val="16"/>
                <w:szCs w:val="16"/>
              </w:rPr>
              <w:t>.</w:t>
            </w:r>
            <w:r w:rsidRPr="00C769EC">
              <w:rPr>
                <w:rFonts w:hAnsi="標楷體" w:cs="Arial" w:hint="eastAsia"/>
                <w:sz w:val="16"/>
                <w:szCs w:val="16"/>
              </w:rPr>
              <w:t>93(e)</w:t>
            </w:r>
          </w:p>
        </w:tc>
        <w:tc>
          <w:tcPr>
            <w:tcW w:w="9625" w:type="dxa"/>
            <w:gridSpan w:val="9"/>
          </w:tcPr>
          <w:p w:rsidR="00B5393B" w:rsidRPr="00C769EC" w:rsidRDefault="00B5393B" w:rsidP="00B5393B">
            <w:pPr>
              <w:numPr>
                <w:ilvl w:val="2"/>
                <w:numId w:val="17"/>
              </w:numPr>
              <w:tabs>
                <w:tab w:val="clear" w:pos="1854"/>
              </w:tabs>
              <w:spacing w:before="120" w:after="120"/>
              <w:ind w:left="1436" w:hanging="341"/>
              <w:jc w:val="both"/>
              <w:outlineLvl w:val="3"/>
              <w:rPr>
                <w:rFonts w:hAnsi="標楷體" w:cs="Arial"/>
                <w:sz w:val="32"/>
                <w:szCs w:val="32"/>
                <w:u w:val="single"/>
              </w:rPr>
            </w:pPr>
            <w:r w:rsidRPr="00C769EC">
              <w:rPr>
                <w:rFonts w:hAnsi="標楷體" w:cs="Arial"/>
                <w:sz w:val="32"/>
                <w:szCs w:val="32"/>
                <w:u w:val="single"/>
              </w:rPr>
              <w:t>第三等級之變動明細表</w:t>
            </w:r>
          </w:p>
        </w:tc>
      </w:tr>
      <w:tr w:rsidR="00B5393B" w:rsidRPr="00C769EC" w:rsidTr="00A37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912" w:type="dxa"/>
            <w:gridSpan w:val="11"/>
            <w:vAlign w:val="center"/>
          </w:tcPr>
          <w:p w:rsidR="00B5393B" w:rsidRPr="00C769EC" w:rsidRDefault="00B5393B" w:rsidP="00DB7C1D">
            <w:pPr>
              <w:spacing w:line="260" w:lineRule="exact"/>
              <w:jc w:val="center"/>
              <w:rPr>
                <w:rFonts w:hAnsi="標楷體"/>
                <w:sz w:val="20"/>
              </w:rPr>
            </w:pPr>
            <w:r w:rsidRPr="00C769EC">
              <w:rPr>
                <w:rFonts w:hAnsi="標楷體"/>
                <w:sz w:val="20"/>
              </w:rPr>
              <w:t>民國</w:t>
            </w:r>
            <w:r w:rsidR="00DB7C1D" w:rsidRPr="00C769EC">
              <w:rPr>
                <w:rFonts w:hAnsi="標楷體" w:hint="eastAsia"/>
                <w:sz w:val="20"/>
              </w:rPr>
              <w:t>104</w:t>
            </w:r>
            <w:r w:rsidRPr="00C769EC">
              <w:rPr>
                <w:rFonts w:hAnsi="標楷體"/>
                <w:sz w:val="20"/>
              </w:rPr>
              <w:t>年</w:t>
            </w:r>
          </w:p>
        </w:tc>
      </w:tr>
      <w:tr w:rsidR="00676979" w:rsidRPr="00C769EC" w:rsidTr="00A37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3409" w:type="dxa"/>
            <w:gridSpan w:val="3"/>
            <w:vMerge w:val="restart"/>
            <w:vAlign w:val="center"/>
          </w:tcPr>
          <w:p w:rsidR="00B5393B" w:rsidRPr="00C769EC" w:rsidRDefault="00B5393B" w:rsidP="00D54EB6">
            <w:pPr>
              <w:spacing w:line="220" w:lineRule="exact"/>
              <w:jc w:val="center"/>
              <w:rPr>
                <w:rFonts w:hAnsi="標楷體"/>
                <w:sz w:val="20"/>
              </w:rPr>
            </w:pPr>
            <w:r w:rsidRPr="00C769EC">
              <w:rPr>
                <w:rFonts w:hAnsi="標楷體"/>
                <w:sz w:val="20"/>
              </w:rPr>
              <w:t>名稱</w:t>
            </w:r>
          </w:p>
        </w:tc>
        <w:tc>
          <w:tcPr>
            <w:tcW w:w="840" w:type="dxa"/>
            <w:vMerge w:val="restart"/>
            <w:vAlign w:val="center"/>
          </w:tcPr>
          <w:p w:rsidR="00B5393B" w:rsidRPr="00C769EC" w:rsidRDefault="00B5393B" w:rsidP="00D54EB6">
            <w:pPr>
              <w:spacing w:line="220" w:lineRule="exact"/>
              <w:jc w:val="center"/>
              <w:rPr>
                <w:rFonts w:hAnsi="標楷體"/>
                <w:sz w:val="20"/>
              </w:rPr>
            </w:pPr>
            <w:r w:rsidRPr="00C769EC">
              <w:rPr>
                <w:rFonts w:hAnsi="標楷體"/>
                <w:sz w:val="20"/>
              </w:rPr>
              <w:t>期初</w:t>
            </w:r>
          </w:p>
          <w:p w:rsidR="00B5393B" w:rsidRPr="00C769EC" w:rsidRDefault="00B5393B" w:rsidP="00D54EB6">
            <w:pPr>
              <w:spacing w:line="220" w:lineRule="exact"/>
              <w:jc w:val="center"/>
              <w:rPr>
                <w:rFonts w:hAnsi="標楷體"/>
                <w:sz w:val="20"/>
              </w:rPr>
            </w:pPr>
            <w:r w:rsidRPr="00C769EC">
              <w:rPr>
                <w:rFonts w:hAnsi="標楷體"/>
                <w:sz w:val="20"/>
              </w:rPr>
              <w:t>餘額</w:t>
            </w:r>
          </w:p>
        </w:tc>
        <w:tc>
          <w:tcPr>
            <w:tcW w:w="1778" w:type="dxa"/>
            <w:gridSpan w:val="2"/>
            <w:vAlign w:val="center"/>
          </w:tcPr>
          <w:p w:rsidR="00B5393B" w:rsidRPr="00C769EC" w:rsidRDefault="00B5393B" w:rsidP="00D54EB6">
            <w:pPr>
              <w:spacing w:line="220" w:lineRule="exact"/>
              <w:jc w:val="center"/>
              <w:rPr>
                <w:rFonts w:hAnsi="標楷體"/>
                <w:sz w:val="20"/>
              </w:rPr>
            </w:pPr>
            <w:r w:rsidRPr="00C769EC">
              <w:rPr>
                <w:rFonts w:hAnsi="標楷體"/>
                <w:sz w:val="20"/>
              </w:rPr>
              <w:t>評價損益之金額</w:t>
            </w:r>
          </w:p>
        </w:tc>
        <w:tc>
          <w:tcPr>
            <w:tcW w:w="1911" w:type="dxa"/>
            <w:gridSpan w:val="2"/>
            <w:vAlign w:val="center"/>
          </w:tcPr>
          <w:p w:rsidR="00B5393B" w:rsidRPr="00C769EC" w:rsidRDefault="00B5393B" w:rsidP="00D54EB6">
            <w:pPr>
              <w:spacing w:line="220" w:lineRule="exact"/>
              <w:jc w:val="center"/>
              <w:rPr>
                <w:rFonts w:hAnsi="標楷體"/>
                <w:sz w:val="20"/>
              </w:rPr>
            </w:pPr>
            <w:r w:rsidRPr="00C769EC">
              <w:rPr>
                <w:rFonts w:hAnsi="標楷體"/>
                <w:sz w:val="20"/>
              </w:rPr>
              <w:t>本期增加</w:t>
            </w:r>
          </w:p>
        </w:tc>
        <w:tc>
          <w:tcPr>
            <w:tcW w:w="1985" w:type="dxa"/>
            <w:gridSpan w:val="2"/>
            <w:vAlign w:val="center"/>
          </w:tcPr>
          <w:p w:rsidR="00B5393B" w:rsidRPr="00C769EC" w:rsidRDefault="00B5393B" w:rsidP="00D54EB6">
            <w:pPr>
              <w:spacing w:line="220" w:lineRule="exact"/>
              <w:jc w:val="center"/>
              <w:rPr>
                <w:rFonts w:hAnsi="標楷體"/>
                <w:sz w:val="20"/>
              </w:rPr>
            </w:pPr>
            <w:r w:rsidRPr="00C769EC">
              <w:rPr>
                <w:rFonts w:hAnsi="標楷體"/>
                <w:sz w:val="20"/>
              </w:rPr>
              <w:t>本期減少</w:t>
            </w:r>
          </w:p>
        </w:tc>
        <w:tc>
          <w:tcPr>
            <w:tcW w:w="989" w:type="dxa"/>
            <w:vMerge w:val="restart"/>
            <w:vAlign w:val="center"/>
          </w:tcPr>
          <w:p w:rsidR="00B5393B" w:rsidRPr="00C769EC" w:rsidRDefault="00B5393B" w:rsidP="00D54EB6">
            <w:pPr>
              <w:spacing w:line="220" w:lineRule="exact"/>
              <w:jc w:val="center"/>
              <w:rPr>
                <w:rFonts w:hAnsi="標楷體"/>
                <w:sz w:val="20"/>
              </w:rPr>
            </w:pPr>
            <w:r w:rsidRPr="00C769EC">
              <w:rPr>
                <w:rFonts w:hAnsi="標楷體"/>
                <w:sz w:val="20"/>
              </w:rPr>
              <w:t>期末</w:t>
            </w:r>
          </w:p>
          <w:p w:rsidR="00B5393B" w:rsidRPr="00C769EC" w:rsidRDefault="00B5393B" w:rsidP="00D54EB6">
            <w:pPr>
              <w:spacing w:line="220" w:lineRule="exact"/>
              <w:jc w:val="center"/>
              <w:rPr>
                <w:rFonts w:hAnsi="標楷體"/>
                <w:sz w:val="20"/>
              </w:rPr>
            </w:pPr>
            <w:r w:rsidRPr="00C769EC">
              <w:rPr>
                <w:rFonts w:hAnsi="標楷體"/>
                <w:sz w:val="20"/>
              </w:rPr>
              <w:t>餘額</w:t>
            </w:r>
          </w:p>
        </w:tc>
      </w:tr>
      <w:tr w:rsidR="00676979" w:rsidRPr="00C769EC" w:rsidTr="00A37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3409" w:type="dxa"/>
            <w:gridSpan w:val="3"/>
            <w:vMerge/>
            <w:vAlign w:val="center"/>
          </w:tcPr>
          <w:p w:rsidR="00B5393B" w:rsidRPr="00C769EC" w:rsidRDefault="00B5393B" w:rsidP="00D54EB6">
            <w:pPr>
              <w:spacing w:line="220" w:lineRule="exact"/>
              <w:jc w:val="center"/>
              <w:rPr>
                <w:rFonts w:hAnsi="標楷體"/>
                <w:sz w:val="20"/>
              </w:rPr>
            </w:pPr>
          </w:p>
        </w:tc>
        <w:tc>
          <w:tcPr>
            <w:tcW w:w="840" w:type="dxa"/>
            <w:vMerge/>
            <w:vAlign w:val="center"/>
          </w:tcPr>
          <w:p w:rsidR="00B5393B" w:rsidRPr="00C769EC" w:rsidRDefault="00B5393B" w:rsidP="00D54EB6">
            <w:pPr>
              <w:spacing w:line="220" w:lineRule="exact"/>
              <w:jc w:val="center"/>
              <w:rPr>
                <w:rFonts w:hAnsi="標楷體"/>
                <w:sz w:val="20"/>
              </w:rPr>
            </w:pPr>
          </w:p>
        </w:tc>
        <w:tc>
          <w:tcPr>
            <w:tcW w:w="812" w:type="dxa"/>
            <w:vAlign w:val="center"/>
          </w:tcPr>
          <w:p w:rsidR="00B5393B" w:rsidRPr="00C769EC" w:rsidRDefault="00B5393B" w:rsidP="00D54EB6">
            <w:pPr>
              <w:spacing w:line="220" w:lineRule="exact"/>
              <w:jc w:val="center"/>
              <w:rPr>
                <w:rFonts w:hAnsi="標楷體"/>
                <w:sz w:val="20"/>
              </w:rPr>
            </w:pPr>
            <w:r w:rsidRPr="00C769EC">
              <w:rPr>
                <w:rFonts w:hAnsi="標楷體"/>
                <w:sz w:val="20"/>
              </w:rPr>
              <w:t>列入</w:t>
            </w:r>
          </w:p>
          <w:p w:rsidR="00B5393B" w:rsidRPr="00C769EC" w:rsidRDefault="00B5393B" w:rsidP="00D54EB6">
            <w:pPr>
              <w:spacing w:line="220" w:lineRule="exact"/>
              <w:jc w:val="center"/>
              <w:rPr>
                <w:rFonts w:hAnsi="標楷體"/>
                <w:sz w:val="20"/>
              </w:rPr>
            </w:pPr>
            <w:r w:rsidRPr="00C769EC">
              <w:rPr>
                <w:rFonts w:hAnsi="標楷體"/>
                <w:sz w:val="20"/>
              </w:rPr>
              <w:t>損益</w:t>
            </w:r>
          </w:p>
        </w:tc>
        <w:tc>
          <w:tcPr>
            <w:tcW w:w="966" w:type="dxa"/>
            <w:vAlign w:val="center"/>
          </w:tcPr>
          <w:p w:rsidR="00B5393B" w:rsidRPr="00C769EC" w:rsidRDefault="00B5393B" w:rsidP="00D54EB6">
            <w:pPr>
              <w:spacing w:line="220" w:lineRule="exact"/>
              <w:jc w:val="center"/>
              <w:rPr>
                <w:rFonts w:hAnsi="標楷體"/>
                <w:sz w:val="20"/>
              </w:rPr>
            </w:pPr>
            <w:r w:rsidRPr="00C769EC">
              <w:rPr>
                <w:rFonts w:hAnsi="標楷體"/>
                <w:sz w:val="20"/>
              </w:rPr>
              <w:t>列入其他綜合損益</w:t>
            </w:r>
          </w:p>
        </w:tc>
        <w:tc>
          <w:tcPr>
            <w:tcW w:w="919" w:type="dxa"/>
            <w:vAlign w:val="center"/>
          </w:tcPr>
          <w:p w:rsidR="00B5393B" w:rsidRPr="00C769EC" w:rsidRDefault="00B5393B" w:rsidP="00D54EB6">
            <w:pPr>
              <w:spacing w:line="220" w:lineRule="exact"/>
              <w:jc w:val="center"/>
              <w:rPr>
                <w:rFonts w:hAnsi="標楷體"/>
                <w:sz w:val="20"/>
              </w:rPr>
            </w:pPr>
            <w:r w:rsidRPr="00C769EC">
              <w:rPr>
                <w:rFonts w:hAnsi="標楷體"/>
                <w:sz w:val="20"/>
              </w:rPr>
              <w:t>買進或</w:t>
            </w:r>
          </w:p>
          <w:p w:rsidR="00B5393B" w:rsidRPr="00C769EC" w:rsidRDefault="00B5393B" w:rsidP="00D54EB6">
            <w:pPr>
              <w:spacing w:line="220" w:lineRule="exact"/>
              <w:jc w:val="center"/>
              <w:rPr>
                <w:rFonts w:hAnsi="標楷體"/>
                <w:sz w:val="20"/>
              </w:rPr>
            </w:pPr>
            <w:r w:rsidRPr="00C769EC">
              <w:rPr>
                <w:rFonts w:hAnsi="標楷體"/>
                <w:sz w:val="20"/>
              </w:rPr>
              <w:t>發行</w:t>
            </w:r>
          </w:p>
        </w:tc>
        <w:tc>
          <w:tcPr>
            <w:tcW w:w="992" w:type="dxa"/>
            <w:vAlign w:val="center"/>
          </w:tcPr>
          <w:p w:rsidR="00676979" w:rsidRPr="00C769EC" w:rsidRDefault="00B5393B" w:rsidP="00676979">
            <w:pPr>
              <w:spacing w:line="220" w:lineRule="exact"/>
              <w:jc w:val="center"/>
              <w:rPr>
                <w:rFonts w:hAnsi="標楷體"/>
                <w:sz w:val="20"/>
              </w:rPr>
            </w:pPr>
            <w:r w:rsidRPr="00C769EC">
              <w:rPr>
                <w:rFonts w:hAnsi="標楷體"/>
                <w:sz w:val="20"/>
              </w:rPr>
              <w:t>轉入第</w:t>
            </w:r>
          </w:p>
          <w:p w:rsidR="00B5393B" w:rsidRPr="00C769EC" w:rsidRDefault="00B5393B" w:rsidP="00676979">
            <w:pPr>
              <w:spacing w:line="220" w:lineRule="exact"/>
              <w:jc w:val="center"/>
              <w:rPr>
                <w:rFonts w:hAnsi="標楷體"/>
                <w:sz w:val="20"/>
              </w:rPr>
            </w:pPr>
            <w:proofErr w:type="gramStart"/>
            <w:r w:rsidRPr="00C769EC">
              <w:rPr>
                <w:rFonts w:hAnsi="標楷體"/>
                <w:sz w:val="20"/>
              </w:rPr>
              <w:t>三</w:t>
            </w:r>
            <w:proofErr w:type="gramEnd"/>
            <w:r w:rsidRPr="00C769EC">
              <w:rPr>
                <w:rFonts w:hAnsi="標楷體"/>
                <w:sz w:val="20"/>
              </w:rPr>
              <w:t>等級</w:t>
            </w:r>
            <w:bookmarkStart w:id="4" w:name="_Ref311032562"/>
            <w:r w:rsidRPr="00C769EC">
              <w:rPr>
                <w:rStyle w:val="af8"/>
                <w:rFonts w:hAnsi="標楷體"/>
              </w:rPr>
              <w:footnoteReference w:id="3"/>
            </w:r>
            <w:bookmarkEnd w:id="4"/>
          </w:p>
        </w:tc>
        <w:tc>
          <w:tcPr>
            <w:tcW w:w="993" w:type="dxa"/>
            <w:vAlign w:val="center"/>
          </w:tcPr>
          <w:p w:rsidR="00B5393B" w:rsidRPr="00C769EC" w:rsidRDefault="00B5393B" w:rsidP="00D54EB6">
            <w:pPr>
              <w:spacing w:line="220" w:lineRule="exact"/>
              <w:jc w:val="center"/>
              <w:rPr>
                <w:rFonts w:hAnsi="標楷體"/>
                <w:sz w:val="20"/>
              </w:rPr>
            </w:pPr>
            <w:r w:rsidRPr="00C769EC">
              <w:rPr>
                <w:rFonts w:hAnsi="標楷體"/>
                <w:sz w:val="20"/>
              </w:rPr>
              <w:t>賣出、處分或交割</w:t>
            </w:r>
          </w:p>
        </w:tc>
        <w:tc>
          <w:tcPr>
            <w:tcW w:w="992" w:type="dxa"/>
            <w:vAlign w:val="center"/>
          </w:tcPr>
          <w:p w:rsidR="00B5393B" w:rsidRPr="00C769EC" w:rsidRDefault="00B5393B" w:rsidP="00C44367">
            <w:pPr>
              <w:spacing w:line="220" w:lineRule="exact"/>
              <w:jc w:val="center"/>
              <w:rPr>
                <w:rFonts w:hAnsi="標楷體"/>
                <w:sz w:val="20"/>
              </w:rPr>
            </w:pPr>
            <w:r w:rsidRPr="00C769EC">
              <w:rPr>
                <w:rFonts w:hAnsi="標楷體"/>
                <w:sz w:val="20"/>
              </w:rPr>
              <w:t>自第三等級轉出</w:t>
            </w:r>
            <w:r w:rsidR="00C44367" w:rsidRPr="00C769EC">
              <w:rPr>
                <w:rFonts w:hAnsi="標楷體" w:hint="eastAsia"/>
                <w:sz w:val="20"/>
                <w:vertAlign w:val="superscript"/>
              </w:rPr>
              <w:t>3</w:t>
            </w:r>
          </w:p>
        </w:tc>
        <w:tc>
          <w:tcPr>
            <w:tcW w:w="989" w:type="dxa"/>
            <w:vMerge/>
            <w:vAlign w:val="center"/>
          </w:tcPr>
          <w:p w:rsidR="00B5393B" w:rsidRPr="00C769EC" w:rsidRDefault="00B5393B" w:rsidP="00D54EB6">
            <w:pPr>
              <w:spacing w:line="220" w:lineRule="exact"/>
              <w:jc w:val="center"/>
              <w:rPr>
                <w:rFonts w:hAnsi="標楷體"/>
                <w:sz w:val="20"/>
              </w:rPr>
            </w:pPr>
          </w:p>
        </w:tc>
      </w:tr>
      <w:tr w:rsidR="00676979" w:rsidRPr="00C769EC" w:rsidTr="00A37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409" w:type="dxa"/>
            <w:gridSpan w:val="3"/>
          </w:tcPr>
          <w:p w:rsidR="00B5393B" w:rsidRPr="00B60BBF" w:rsidRDefault="00B5393B" w:rsidP="00D54EB6">
            <w:pPr>
              <w:spacing w:line="220" w:lineRule="exact"/>
              <w:ind w:leftChars="10" w:left="248" w:hangingChars="112" w:hanging="224"/>
              <w:rPr>
                <w:rFonts w:hAnsi="標楷體"/>
                <w:kern w:val="0"/>
                <w:sz w:val="20"/>
              </w:rPr>
            </w:pPr>
            <w:r w:rsidRPr="00B60BBF">
              <w:rPr>
                <w:rFonts w:hAnsi="標楷體"/>
                <w:kern w:val="0"/>
                <w:sz w:val="20"/>
              </w:rPr>
              <w:t>透過損益按公允價值衡量之金融資產</w:t>
            </w:r>
          </w:p>
          <w:p w:rsidR="00B5393B" w:rsidRPr="00B60BBF" w:rsidRDefault="00B5393B" w:rsidP="00D54EB6">
            <w:pPr>
              <w:spacing w:line="220" w:lineRule="exact"/>
              <w:ind w:leftChars="102" w:left="453" w:hangingChars="104" w:hanging="208"/>
              <w:rPr>
                <w:rFonts w:hAnsi="標楷體"/>
                <w:kern w:val="0"/>
                <w:sz w:val="20"/>
              </w:rPr>
            </w:pPr>
            <w:proofErr w:type="gramStart"/>
            <w:r w:rsidRPr="00B60BBF">
              <w:rPr>
                <w:rFonts w:hAnsi="標楷體"/>
                <w:kern w:val="0"/>
                <w:sz w:val="20"/>
              </w:rPr>
              <w:t>持有供交易之金</w:t>
            </w:r>
            <w:proofErr w:type="gramEnd"/>
            <w:r w:rsidRPr="00B60BBF">
              <w:rPr>
                <w:rFonts w:hAnsi="標楷體"/>
                <w:kern w:val="0"/>
                <w:sz w:val="20"/>
              </w:rPr>
              <w:t>融資產</w:t>
            </w:r>
          </w:p>
          <w:p w:rsidR="00B5393B" w:rsidRPr="00B60BBF" w:rsidRDefault="00B5393B" w:rsidP="00D54EB6">
            <w:pPr>
              <w:spacing w:line="220" w:lineRule="exact"/>
              <w:ind w:leftChars="102" w:left="453" w:hangingChars="104" w:hanging="208"/>
              <w:rPr>
                <w:rFonts w:hAnsi="標楷體"/>
                <w:kern w:val="0"/>
                <w:sz w:val="20"/>
              </w:rPr>
            </w:pPr>
            <w:r w:rsidRPr="00B60BBF">
              <w:rPr>
                <w:rFonts w:hAnsi="標楷體"/>
                <w:kern w:val="0"/>
                <w:sz w:val="20"/>
              </w:rPr>
              <w:t>原始認列時指定透過損益按公允價值衡量之金融資產</w:t>
            </w:r>
          </w:p>
          <w:p w:rsidR="00B5393B" w:rsidRPr="00B60BBF" w:rsidRDefault="00B5393B" w:rsidP="00D54EB6">
            <w:pPr>
              <w:spacing w:line="220" w:lineRule="exact"/>
              <w:ind w:left="200" w:rightChars="47" w:right="113" w:hangingChars="100" w:hanging="200"/>
              <w:jc w:val="both"/>
              <w:rPr>
                <w:rFonts w:hAnsi="標楷體"/>
                <w:kern w:val="0"/>
                <w:sz w:val="20"/>
              </w:rPr>
            </w:pPr>
            <w:r w:rsidRPr="00B60BBF">
              <w:rPr>
                <w:rFonts w:hAnsi="標楷體"/>
                <w:kern w:val="0"/>
                <w:sz w:val="20"/>
              </w:rPr>
              <w:t>備供出售金融資產</w:t>
            </w:r>
          </w:p>
          <w:p w:rsidR="00B5393B" w:rsidRPr="00B60BBF" w:rsidRDefault="00B5393B" w:rsidP="00C44367">
            <w:pPr>
              <w:spacing w:line="220" w:lineRule="exact"/>
              <w:ind w:left="200" w:rightChars="47" w:right="113" w:hangingChars="100" w:hanging="200"/>
              <w:jc w:val="both"/>
              <w:rPr>
                <w:rFonts w:hAnsi="標楷體"/>
                <w:kern w:val="0"/>
                <w:sz w:val="20"/>
              </w:rPr>
            </w:pPr>
            <w:r w:rsidRPr="00B60BBF">
              <w:rPr>
                <w:rFonts w:hAnsi="標楷體"/>
                <w:kern w:val="0"/>
                <w:sz w:val="20"/>
              </w:rPr>
              <w:t>避險之衍生金融資產</w:t>
            </w:r>
          </w:p>
          <w:p w:rsidR="00E455F3" w:rsidRPr="00B60BBF" w:rsidRDefault="00E455F3" w:rsidP="00C44367">
            <w:pPr>
              <w:spacing w:line="220" w:lineRule="exact"/>
              <w:ind w:left="200" w:rightChars="47" w:right="113" w:hangingChars="100" w:hanging="200"/>
              <w:jc w:val="both"/>
              <w:rPr>
                <w:rFonts w:hAnsi="標楷體"/>
                <w:sz w:val="20"/>
              </w:rPr>
            </w:pPr>
            <w:r w:rsidRPr="00B60BBF">
              <w:rPr>
                <w:rFonts w:hAnsi="標楷體" w:hint="eastAsia"/>
                <w:kern w:val="0"/>
                <w:sz w:val="20"/>
              </w:rPr>
              <w:t>投資性不動產</w:t>
            </w:r>
          </w:p>
        </w:tc>
        <w:tc>
          <w:tcPr>
            <w:tcW w:w="840" w:type="dxa"/>
          </w:tcPr>
          <w:p w:rsidR="00B5393B" w:rsidRPr="00C769EC" w:rsidRDefault="00B5393B" w:rsidP="00D54EB6">
            <w:pPr>
              <w:spacing w:line="220" w:lineRule="exact"/>
              <w:jc w:val="center"/>
              <w:rPr>
                <w:rFonts w:hAnsi="標楷體"/>
                <w:sz w:val="20"/>
              </w:rPr>
            </w:pPr>
          </w:p>
        </w:tc>
        <w:tc>
          <w:tcPr>
            <w:tcW w:w="812" w:type="dxa"/>
          </w:tcPr>
          <w:p w:rsidR="00B5393B" w:rsidRPr="00C769EC" w:rsidRDefault="00B5393B" w:rsidP="00D54EB6">
            <w:pPr>
              <w:spacing w:line="220" w:lineRule="exact"/>
              <w:jc w:val="center"/>
              <w:rPr>
                <w:rFonts w:hAnsi="標楷體"/>
                <w:sz w:val="20"/>
              </w:rPr>
            </w:pPr>
          </w:p>
        </w:tc>
        <w:tc>
          <w:tcPr>
            <w:tcW w:w="966" w:type="dxa"/>
          </w:tcPr>
          <w:p w:rsidR="00B5393B" w:rsidRPr="00C769EC" w:rsidRDefault="00B5393B" w:rsidP="00D54EB6">
            <w:pPr>
              <w:spacing w:line="220" w:lineRule="exact"/>
              <w:jc w:val="center"/>
              <w:rPr>
                <w:rFonts w:hAnsi="標楷體"/>
                <w:sz w:val="20"/>
              </w:rPr>
            </w:pPr>
          </w:p>
        </w:tc>
        <w:tc>
          <w:tcPr>
            <w:tcW w:w="919" w:type="dxa"/>
          </w:tcPr>
          <w:p w:rsidR="00B5393B" w:rsidRPr="00C769EC" w:rsidRDefault="00B5393B" w:rsidP="00D54EB6">
            <w:pPr>
              <w:spacing w:line="220" w:lineRule="exact"/>
              <w:jc w:val="center"/>
              <w:rPr>
                <w:rFonts w:hAnsi="標楷體"/>
                <w:sz w:val="20"/>
              </w:rPr>
            </w:pPr>
          </w:p>
        </w:tc>
        <w:tc>
          <w:tcPr>
            <w:tcW w:w="992" w:type="dxa"/>
          </w:tcPr>
          <w:p w:rsidR="00B5393B" w:rsidRPr="00C769EC" w:rsidRDefault="00B5393B" w:rsidP="00D54EB6">
            <w:pPr>
              <w:spacing w:line="220" w:lineRule="exact"/>
              <w:jc w:val="center"/>
              <w:rPr>
                <w:rFonts w:hAnsi="標楷體"/>
                <w:sz w:val="20"/>
              </w:rPr>
            </w:pPr>
          </w:p>
        </w:tc>
        <w:tc>
          <w:tcPr>
            <w:tcW w:w="993" w:type="dxa"/>
          </w:tcPr>
          <w:p w:rsidR="00B5393B" w:rsidRPr="00C769EC" w:rsidRDefault="00B5393B" w:rsidP="00D54EB6">
            <w:pPr>
              <w:spacing w:line="220" w:lineRule="exact"/>
              <w:jc w:val="center"/>
              <w:rPr>
                <w:rFonts w:hAnsi="標楷體"/>
                <w:sz w:val="20"/>
              </w:rPr>
            </w:pPr>
          </w:p>
        </w:tc>
        <w:tc>
          <w:tcPr>
            <w:tcW w:w="992" w:type="dxa"/>
          </w:tcPr>
          <w:p w:rsidR="00B5393B" w:rsidRPr="00C769EC" w:rsidRDefault="00B5393B" w:rsidP="00D54EB6">
            <w:pPr>
              <w:spacing w:line="220" w:lineRule="exact"/>
              <w:jc w:val="center"/>
              <w:rPr>
                <w:rFonts w:hAnsi="標楷體"/>
                <w:sz w:val="20"/>
              </w:rPr>
            </w:pPr>
          </w:p>
        </w:tc>
        <w:tc>
          <w:tcPr>
            <w:tcW w:w="989" w:type="dxa"/>
          </w:tcPr>
          <w:p w:rsidR="00B5393B" w:rsidRPr="00C769EC" w:rsidRDefault="00B5393B" w:rsidP="00D54EB6">
            <w:pPr>
              <w:spacing w:line="220" w:lineRule="exact"/>
              <w:jc w:val="center"/>
              <w:rPr>
                <w:rFonts w:hAnsi="標楷體"/>
                <w:sz w:val="20"/>
              </w:rPr>
            </w:pPr>
          </w:p>
        </w:tc>
      </w:tr>
      <w:tr w:rsidR="00676979" w:rsidRPr="00C769EC" w:rsidTr="00A37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7"/>
        </w:trPr>
        <w:tc>
          <w:tcPr>
            <w:tcW w:w="3409" w:type="dxa"/>
            <w:gridSpan w:val="3"/>
          </w:tcPr>
          <w:p w:rsidR="00B5393B" w:rsidRPr="00B60BBF" w:rsidRDefault="00B5393B" w:rsidP="00D54EB6">
            <w:pPr>
              <w:spacing w:line="220" w:lineRule="exact"/>
              <w:jc w:val="both"/>
              <w:rPr>
                <w:rFonts w:hAnsi="標楷體"/>
                <w:sz w:val="20"/>
              </w:rPr>
            </w:pPr>
            <w:r w:rsidRPr="00B60BBF">
              <w:rPr>
                <w:rFonts w:hAnsi="標楷體"/>
                <w:sz w:val="20"/>
              </w:rPr>
              <w:t>合計</w:t>
            </w:r>
          </w:p>
        </w:tc>
        <w:tc>
          <w:tcPr>
            <w:tcW w:w="840" w:type="dxa"/>
          </w:tcPr>
          <w:p w:rsidR="00B5393B" w:rsidRPr="00C769EC" w:rsidRDefault="00B5393B" w:rsidP="00D54EB6">
            <w:pPr>
              <w:spacing w:line="220" w:lineRule="exact"/>
              <w:jc w:val="center"/>
              <w:rPr>
                <w:rFonts w:hAnsi="標楷體"/>
                <w:sz w:val="20"/>
              </w:rPr>
            </w:pPr>
          </w:p>
        </w:tc>
        <w:tc>
          <w:tcPr>
            <w:tcW w:w="812" w:type="dxa"/>
          </w:tcPr>
          <w:p w:rsidR="00B5393B" w:rsidRPr="00C769EC" w:rsidRDefault="00B5393B" w:rsidP="00D54EB6">
            <w:pPr>
              <w:spacing w:line="220" w:lineRule="exact"/>
              <w:jc w:val="center"/>
              <w:rPr>
                <w:rFonts w:hAnsi="標楷體"/>
                <w:sz w:val="20"/>
              </w:rPr>
            </w:pPr>
          </w:p>
        </w:tc>
        <w:tc>
          <w:tcPr>
            <w:tcW w:w="966" w:type="dxa"/>
          </w:tcPr>
          <w:p w:rsidR="00B5393B" w:rsidRPr="00C769EC" w:rsidRDefault="00B5393B" w:rsidP="00D54EB6">
            <w:pPr>
              <w:spacing w:line="220" w:lineRule="exact"/>
              <w:jc w:val="center"/>
              <w:rPr>
                <w:rFonts w:hAnsi="標楷體"/>
                <w:sz w:val="20"/>
              </w:rPr>
            </w:pPr>
          </w:p>
        </w:tc>
        <w:tc>
          <w:tcPr>
            <w:tcW w:w="919" w:type="dxa"/>
          </w:tcPr>
          <w:p w:rsidR="00B5393B" w:rsidRPr="00C769EC" w:rsidRDefault="00B5393B" w:rsidP="00D54EB6">
            <w:pPr>
              <w:spacing w:line="220" w:lineRule="exact"/>
              <w:jc w:val="center"/>
              <w:rPr>
                <w:rFonts w:hAnsi="標楷體"/>
                <w:sz w:val="20"/>
              </w:rPr>
            </w:pPr>
          </w:p>
        </w:tc>
        <w:tc>
          <w:tcPr>
            <w:tcW w:w="992" w:type="dxa"/>
          </w:tcPr>
          <w:p w:rsidR="00B5393B" w:rsidRPr="00C769EC" w:rsidRDefault="00B5393B" w:rsidP="00D54EB6">
            <w:pPr>
              <w:spacing w:line="220" w:lineRule="exact"/>
              <w:jc w:val="center"/>
              <w:rPr>
                <w:rFonts w:hAnsi="標楷體"/>
                <w:sz w:val="20"/>
              </w:rPr>
            </w:pPr>
          </w:p>
        </w:tc>
        <w:tc>
          <w:tcPr>
            <w:tcW w:w="993" w:type="dxa"/>
          </w:tcPr>
          <w:p w:rsidR="00B5393B" w:rsidRPr="00C769EC" w:rsidRDefault="00B5393B" w:rsidP="00D54EB6">
            <w:pPr>
              <w:spacing w:line="220" w:lineRule="exact"/>
              <w:jc w:val="center"/>
              <w:rPr>
                <w:rFonts w:hAnsi="標楷體"/>
                <w:sz w:val="20"/>
              </w:rPr>
            </w:pPr>
          </w:p>
        </w:tc>
        <w:tc>
          <w:tcPr>
            <w:tcW w:w="992" w:type="dxa"/>
          </w:tcPr>
          <w:p w:rsidR="00B5393B" w:rsidRPr="00C769EC" w:rsidRDefault="00B5393B" w:rsidP="00D54EB6">
            <w:pPr>
              <w:spacing w:line="220" w:lineRule="exact"/>
              <w:jc w:val="center"/>
              <w:rPr>
                <w:rFonts w:hAnsi="標楷體"/>
                <w:sz w:val="20"/>
              </w:rPr>
            </w:pPr>
          </w:p>
        </w:tc>
        <w:tc>
          <w:tcPr>
            <w:tcW w:w="989" w:type="dxa"/>
          </w:tcPr>
          <w:p w:rsidR="00B5393B" w:rsidRPr="00C769EC" w:rsidRDefault="00B5393B" w:rsidP="00D54EB6">
            <w:pPr>
              <w:spacing w:line="220" w:lineRule="exact"/>
              <w:jc w:val="center"/>
              <w:rPr>
                <w:rFonts w:hAnsi="標楷體"/>
                <w:sz w:val="20"/>
              </w:rPr>
            </w:pPr>
          </w:p>
        </w:tc>
      </w:tr>
      <w:tr w:rsidR="00DB7C1D" w:rsidRPr="00C769EC" w:rsidTr="00A37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7"/>
        </w:trPr>
        <w:tc>
          <w:tcPr>
            <w:tcW w:w="3409" w:type="dxa"/>
            <w:gridSpan w:val="3"/>
          </w:tcPr>
          <w:p w:rsidR="00DB7C1D" w:rsidRPr="00C769EC" w:rsidRDefault="00DB7C1D" w:rsidP="00D54EB6">
            <w:pPr>
              <w:spacing w:line="220" w:lineRule="exact"/>
              <w:ind w:leftChars="10" w:left="248" w:hangingChars="112" w:hanging="224"/>
              <w:rPr>
                <w:rFonts w:hAnsi="標楷體"/>
                <w:kern w:val="0"/>
                <w:sz w:val="20"/>
              </w:rPr>
            </w:pPr>
            <w:r w:rsidRPr="00C769EC">
              <w:rPr>
                <w:rFonts w:hAnsi="標楷體"/>
                <w:kern w:val="0"/>
                <w:sz w:val="20"/>
              </w:rPr>
              <w:t>透過損益按公允價值衡量之金融負債</w:t>
            </w:r>
          </w:p>
          <w:p w:rsidR="00DB7C1D" w:rsidRPr="00C769EC" w:rsidRDefault="00DB7C1D" w:rsidP="00D54EB6">
            <w:pPr>
              <w:spacing w:line="220" w:lineRule="exact"/>
              <w:ind w:leftChars="102" w:left="453" w:hangingChars="104" w:hanging="208"/>
              <w:rPr>
                <w:rFonts w:hAnsi="標楷體"/>
                <w:kern w:val="0"/>
                <w:sz w:val="20"/>
              </w:rPr>
            </w:pPr>
            <w:r w:rsidRPr="00C769EC">
              <w:rPr>
                <w:rFonts w:hAnsi="標楷體"/>
                <w:kern w:val="0"/>
                <w:sz w:val="20"/>
              </w:rPr>
              <w:t>持有供交易之金融負債</w:t>
            </w:r>
          </w:p>
          <w:p w:rsidR="00DB7C1D" w:rsidRPr="00C769EC" w:rsidRDefault="00DB7C1D" w:rsidP="00D54EB6">
            <w:pPr>
              <w:spacing w:line="220" w:lineRule="exact"/>
              <w:ind w:leftChars="102" w:left="453" w:hangingChars="104" w:hanging="208"/>
              <w:rPr>
                <w:rFonts w:hAnsi="標楷體"/>
                <w:kern w:val="0"/>
                <w:sz w:val="20"/>
              </w:rPr>
            </w:pPr>
            <w:r w:rsidRPr="00C769EC">
              <w:rPr>
                <w:rFonts w:hAnsi="標楷體"/>
                <w:kern w:val="0"/>
                <w:sz w:val="20"/>
              </w:rPr>
              <w:t>原始認列時指定透過損益按公允價值衡量之金融負債</w:t>
            </w:r>
          </w:p>
          <w:p w:rsidR="00DB7C1D" w:rsidRPr="00C769EC" w:rsidRDefault="00DB7C1D" w:rsidP="00D54EB6">
            <w:pPr>
              <w:spacing w:line="220" w:lineRule="exact"/>
              <w:ind w:left="200" w:rightChars="47" w:right="113" w:hangingChars="100" w:hanging="200"/>
              <w:jc w:val="both"/>
              <w:rPr>
                <w:rFonts w:hAnsi="標楷體"/>
                <w:sz w:val="20"/>
              </w:rPr>
            </w:pPr>
            <w:r w:rsidRPr="00C769EC">
              <w:rPr>
                <w:rFonts w:hAnsi="標楷體"/>
                <w:kern w:val="0"/>
                <w:sz w:val="20"/>
              </w:rPr>
              <w:t>避險之衍生金融負債</w:t>
            </w:r>
          </w:p>
        </w:tc>
        <w:tc>
          <w:tcPr>
            <w:tcW w:w="840" w:type="dxa"/>
          </w:tcPr>
          <w:p w:rsidR="00DB7C1D" w:rsidRPr="00C769EC" w:rsidRDefault="00DB7C1D" w:rsidP="00D54EB6">
            <w:pPr>
              <w:spacing w:line="220" w:lineRule="exact"/>
              <w:jc w:val="center"/>
              <w:rPr>
                <w:rFonts w:hAnsi="標楷體"/>
                <w:sz w:val="20"/>
              </w:rPr>
            </w:pPr>
          </w:p>
        </w:tc>
        <w:tc>
          <w:tcPr>
            <w:tcW w:w="812" w:type="dxa"/>
          </w:tcPr>
          <w:p w:rsidR="00DB7C1D" w:rsidRPr="00C769EC" w:rsidRDefault="00DB7C1D" w:rsidP="00D54EB6">
            <w:pPr>
              <w:spacing w:line="220" w:lineRule="exact"/>
              <w:jc w:val="center"/>
              <w:rPr>
                <w:rFonts w:hAnsi="標楷體"/>
                <w:sz w:val="20"/>
              </w:rPr>
            </w:pPr>
          </w:p>
        </w:tc>
        <w:tc>
          <w:tcPr>
            <w:tcW w:w="966" w:type="dxa"/>
          </w:tcPr>
          <w:p w:rsidR="00DB7C1D" w:rsidRPr="00C769EC" w:rsidRDefault="00DB7C1D" w:rsidP="00D54EB6">
            <w:pPr>
              <w:spacing w:line="220" w:lineRule="exact"/>
              <w:jc w:val="center"/>
              <w:rPr>
                <w:rFonts w:hAnsi="標楷體"/>
                <w:sz w:val="20"/>
              </w:rPr>
            </w:pPr>
          </w:p>
        </w:tc>
        <w:tc>
          <w:tcPr>
            <w:tcW w:w="919" w:type="dxa"/>
          </w:tcPr>
          <w:p w:rsidR="00DB7C1D" w:rsidRPr="00C769EC" w:rsidRDefault="00DB7C1D" w:rsidP="00D54EB6">
            <w:pPr>
              <w:spacing w:line="220" w:lineRule="exact"/>
              <w:jc w:val="center"/>
              <w:rPr>
                <w:rFonts w:hAnsi="標楷體"/>
                <w:sz w:val="20"/>
              </w:rPr>
            </w:pPr>
          </w:p>
        </w:tc>
        <w:tc>
          <w:tcPr>
            <w:tcW w:w="992" w:type="dxa"/>
          </w:tcPr>
          <w:p w:rsidR="00DB7C1D" w:rsidRPr="00C769EC" w:rsidRDefault="00DB7C1D" w:rsidP="00D54EB6">
            <w:pPr>
              <w:spacing w:line="220" w:lineRule="exact"/>
              <w:jc w:val="center"/>
              <w:rPr>
                <w:rFonts w:hAnsi="標楷體"/>
                <w:sz w:val="20"/>
              </w:rPr>
            </w:pPr>
          </w:p>
        </w:tc>
        <w:tc>
          <w:tcPr>
            <w:tcW w:w="993" w:type="dxa"/>
          </w:tcPr>
          <w:p w:rsidR="00DB7C1D" w:rsidRPr="00C769EC" w:rsidRDefault="00DB7C1D" w:rsidP="00D54EB6">
            <w:pPr>
              <w:spacing w:line="220" w:lineRule="exact"/>
              <w:jc w:val="center"/>
              <w:rPr>
                <w:rFonts w:hAnsi="標楷體"/>
                <w:sz w:val="20"/>
              </w:rPr>
            </w:pPr>
          </w:p>
        </w:tc>
        <w:tc>
          <w:tcPr>
            <w:tcW w:w="992" w:type="dxa"/>
          </w:tcPr>
          <w:p w:rsidR="00DB7C1D" w:rsidRPr="00C769EC" w:rsidRDefault="00DB7C1D" w:rsidP="00D54EB6">
            <w:pPr>
              <w:spacing w:line="220" w:lineRule="exact"/>
              <w:jc w:val="center"/>
              <w:rPr>
                <w:rFonts w:hAnsi="標楷體"/>
                <w:sz w:val="20"/>
              </w:rPr>
            </w:pPr>
          </w:p>
        </w:tc>
        <w:tc>
          <w:tcPr>
            <w:tcW w:w="989" w:type="dxa"/>
          </w:tcPr>
          <w:p w:rsidR="00DB7C1D" w:rsidRPr="00C769EC" w:rsidRDefault="00DB7C1D" w:rsidP="00D54EB6">
            <w:pPr>
              <w:spacing w:line="220" w:lineRule="exact"/>
              <w:jc w:val="center"/>
              <w:rPr>
                <w:rFonts w:hAnsi="標楷體"/>
                <w:sz w:val="20"/>
              </w:rPr>
            </w:pPr>
          </w:p>
        </w:tc>
      </w:tr>
      <w:tr w:rsidR="00DB7C1D" w:rsidRPr="00C769EC" w:rsidTr="00A37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7"/>
        </w:trPr>
        <w:tc>
          <w:tcPr>
            <w:tcW w:w="3409" w:type="dxa"/>
            <w:gridSpan w:val="3"/>
          </w:tcPr>
          <w:p w:rsidR="00DB7C1D" w:rsidRPr="00C769EC" w:rsidRDefault="00DB7C1D" w:rsidP="00D54EB6">
            <w:pPr>
              <w:spacing w:line="220" w:lineRule="exact"/>
              <w:jc w:val="both"/>
              <w:rPr>
                <w:rFonts w:hAnsi="標楷體"/>
                <w:sz w:val="20"/>
              </w:rPr>
            </w:pPr>
            <w:r w:rsidRPr="00C769EC">
              <w:rPr>
                <w:rFonts w:hAnsi="標楷體"/>
                <w:sz w:val="20"/>
              </w:rPr>
              <w:t>合計</w:t>
            </w:r>
          </w:p>
        </w:tc>
        <w:tc>
          <w:tcPr>
            <w:tcW w:w="840" w:type="dxa"/>
          </w:tcPr>
          <w:p w:rsidR="00DB7C1D" w:rsidRPr="00C769EC" w:rsidRDefault="00DB7C1D" w:rsidP="00D54EB6">
            <w:pPr>
              <w:spacing w:line="220" w:lineRule="exact"/>
              <w:jc w:val="center"/>
              <w:rPr>
                <w:rFonts w:hAnsi="標楷體"/>
                <w:sz w:val="20"/>
              </w:rPr>
            </w:pPr>
          </w:p>
        </w:tc>
        <w:tc>
          <w:tcPr>
            <w:tcW w:w="812" w:type="dxa"/>
          </w:tcPr>
          <w:p w:rsidR="00DB7C1D" w:rsidRPr="00C769EC" w:rsidRDefault="00DB7C1D" w:rsidP="00D54EB6">
            <w:pPr>
              <w:spacing w:line="220" w:lineRule="exact"/>
              <w:jc w:val="center"/>
              <w:rPr>
                <w:rFonts w:hAnsi="標楷體"/>
                <w:sz w:val="20"/>
              </w:rPr>
            </w:pPr>
          </w:p>
        </w:tc>
        <w:tc>
          <w:tcPr>
            <w:tcW w:w="966" w:type="dxa"/>
          </w:tcPr>
          <w:p w:rsidR="00DB7C1D" w:rsidRPr="00C769EC" w:rsidRDefault="00DB7C1D" w:rsidP="00D54EB6">
            <w:pPr>
              <w:spacing w:line="220" w:lineRule="exact"/>
              <w:jc w:val="center"/>
              <w:rPr>
                <w:rFonts w:hAnsi="標楷體"/>
                <w:sz w:val="20"/>
              </w:rPr>
            </w:pPr>
          </w:p>
        </w:tc>
        <w:tc>
          <w:tcPr>
            <w:tcW w:w="919" w:type="dxa"/>
          </w:tcPr>
          <w:p w:rsidR="00DB7C1D" w:rsidRPr="00C769EC" w:rsidRDefault="00DB7C1D" w:rsidP="00D54EB6">
            <w:pPr>
              <w:spacing w:line="220" w:lineRule="exact"/>
              <w:jc w:val="center"/>
              <w:rPr>
                <w:rFonts w:hAnsi="標楷體"/>
                <w:sz w:val="20"/>
              </w:rPr>
            </w:pPr>
          </w:p>
        </w:tc>
        <w:tc>
          <w:tcPr>
            <w:tcW w:w="992" w:type="dxa"/>
          </w:tcPr>
          <w:p w:rsidR="00DB7C1D" w:rsidRPr="00C769EC" w:rsidRDefault="00DB7C1D" w:rsidP="00D54EB6">
            <w:pPr>
              <w:spacing w:line="220" w:lineRule="exact"/>
              <w:jc w:val="center"/>
              <w:rPr>
                <w:rFonts w:hAnsi="標楷體"/>
                <w:sz w:val="20"/>
              </w:rPr>
            </w:pPr>
          </w:p>
        </w:tc>
        <w:tc>
          <w:tcPr>
            <w:tcW w:w="993" w:type="dxa"/>
          </w:tcPr>
          <w:p w:rsidR="00DB7C1D" w:rsidRPr="00C769EC" w:rsidRDefault="00DB7C1D" w:rsidP="00D54EB6">
            <w:pPr>
              <w:spacing w:line="220" w:lineRule="exact"/>
              <w:jc w:val="center"/>
              <w:rPr>
                <w:rFonts w:hAnsi="標楷體"/>
                <w:sz w:val="20"/>
              </w:rPr>
            </w:pPr>
          </w:p>
        </w:tc>
        <w:tc>
          <w:tcPr>
            <w:tcW w:w="992" w:type="dxa"/>
          </w:tcPr>
          <w:p w:rsidR="00DB7C1D" w:rsidRPr="00C769EC" w:rsidRDefault="00DB7C1D" w:rsidP="00D54EB6">
            <w:pPr>
              <w:spacing w:line="220" w:lineRule="exact"/>
              <w:jc w:val="center"/>
              <w:rPr>
                <w:rFonts w:hAnsi="標楷體"/>
                <w:sz w:val="20"/>
              </w:rPr>
            </w:pPr>
          </w:p>
        </w:tc>
        <w:tc>
          <w:tcPr>
            <w:tcW w:w="989" w:type="dxa"/>
          </w:tcPr>
          <w:p w:rsidR="00DB7C1D" w:rsidRPr="00C769EC" w:rsidRDefault="00DB7C1D" w:rsidP="00D54EB6">
            <w:pPr>
              <w:spacing w:line="220" w:lineRule="exact"/>
              <w:jc w:val="center"/>
              <w:rPr>
                <w:rFonts w:hAnsi="標楷體"/>
                <w:sz w:val="20"/>
              </w:rPr>
            </w:pPr>
          </w:p>
        </w:tc>
      </w:tr>
    </w:tbl>
    <w:p w:rsidR="00B5393B" w:rsidRPr="00C769EC" w:rsidRDefault="00B5393B" w:rsidP="00B5393B">
      <w:pPr>
        <w:rPr>
          <w:rFonts w:hAnsi="標楷體"/>
        </w:rPr>
      </w:pPr>
    </w:p>
    <w:tbl>
      <w:tblPr>
        <w:tblW w:w="1091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09"/>
        <w:gridCol w:w="854"/>
        <w:gridCol w:w="798"/>
        <w:gridCol w:w="966"/>
        <w:gridCol w:w="909"/>
        <w:gridCol w:w="1008"/>
        <w:gridCol w:w="994"/>
        <w:gridCol w:w="994"/>
        <w:gridCol w:w="980"/>
      </w:tblGrid>
      <w:tr w:rsidR="00B5393B" w:rsidRPr="00C769EC" w:rsidTr="00A37C7D">
        <w:trPr>
          <w:cantSplit/>
        </w:trPr>
        <w:tc>
          <w:tcPr>
            <w:tcW w:w="10912" w:type="dxa"/>
            <w:gridSpan w:val="9"/>
            <w:vAlign w:val="center"/>
          </w:tcPr>
          <w:p w:rsidR="00B5393B" w:rsidRPr="00C769EC" w:rsidRDefault="00B5393B" w:rsidP="00DB7C1D">
            <w:pPr>
              <w:spacing w:line="260" w:lineRule="exact"/>
              <w:jc w:val="center"/>
              <w:rPr>
                <w:rFonts w:hAnsi="標楷體"/>
                <w:sz w:val="20"/>
              </w:rPr>
            </w:pPr>
            <w:r w:rsidRPr="00C769EC">
              <w:rPr>
                <w:rFonts w:hAnsi="標楷體"/>
                <w:sz w:val="20"/>
              </w:rPr>
              <w:t>民國</w:t>
            </w:r>
            <w:r w:rsidR="00DB7C1D" w:rsidRPr="00C769EC">
              <w:rPr>
                <w:rFonts w:hAnsi="標楷體" w:hint="eastAsia"/>
                <w:sz w:val="20"/>
              </w:rPr>
              <w:t>103</w:t>
            </w:r>
            <w:r w:rsidRPr="00C769EC">
              <w:rPr>
                <w:rFonts w:hAnsi="標楷體"/>
                <w:sz w:val="20"/>
              </w:rPr>
              <w:t>年</w:t>
            </w:r>
          </w:p>
        </w:tc>
      </w:tr>
      <w:tr w:rsidR="00B5393B" w:rsidRPr="00C769EC" w:rsidTr="00A37C7D">
        <w:trPr>
          <w:cantSplit/>
        </w:trPr>
        <w:tc>
          <w:tcPr>
            <w:tcW w:w="3409" w:type="dxa"/>
            <w:vMerge w:val="restart"/>
            <w:vAlign w:val="center"/>
          </w:tcPr>
          <w:p w:rsidR="00B5393B" w:rsidRPr="00C769EC" w:rsidRDefault="00B5393B" w:rsidP="00D54EB6">
            <w:pPr>
              <w:spacing w:line="220" w:lineRule="exact"/>
              <w:jc w:val="center"/>
              <w:rPr>
                <w:rFonts w:hAnsi="標楷體"/>
                <w:sz w:val="20"/>
              </w:rPr>
            </w:pPr>
            <w:r w:rsidRPr="00C769EC">
              <w:rPr>
                <w:rFonts w:hAnsi="標楷體"/>
                <w:sz w:val="20"/>
              </w:rPr>
              <w:t>名稱</w:t>
            </w:r>
          </w:p>
        </w:tc>
        <w:tc>
          <w:tcPr>
            <w:tcW w:w="854" w:type="dxa"/>
            <w:vMerge w:val="restart"/>
            <w:vAlign w:val="center"/>
          </w:tcPr>
          <w:p w:rsidR="00B5393B" w:rsidRPr="00C769EC" w:rsidRDefault="00B5393B" w:rsidP="00D54EB6">
            <w:pPr>
              <w:spacing w:line="220" w:lineRule="exact"/>
              <w:jc w:val="center"/>
              <w:rPr>
                <w:rFonts w:hAnsi="標楷體"/>
                <w:sz w:val="20"/>
              </w:rPr>
            </w:pPr>
            <w:r w:rsidRPr="00C769EC">
              <w:rPr>
                <w:rFonts w:hAnsi="標楷體"/>
                <w:sz w:val="20"/>
              </w:rPr>
              <w:t>期初</w:t>
            </w:r>
          </w:p>
          <w:p w:rsidR="00B5393B" w:rsidRPr="00C769EC" w:rsidRDefault="00B5393B" w:rsidP="00D54EB6">
            <w:pPr>
              <w:spacing w:line="220" w:lineRule="exact"/>
              <w:jc w:val="center"/>
              <w:rPr>
                <w:rFonts w:hAnsi="標楷體"/>
                <w:sz w:val="20"/>
              </w:rPr>
            </w:pPr>
            <w:r w:rsidRPr="00C769EC">
              <w:rPr>
                <w:rFonts w:hAnsi="標楷體"/>
                <w:sz w:val="20"/>
              </w:rPr>
              <w:t>餘額</w:t>
            </w:r>
          </w:p>
        </w:tc>
        <w:tc>
          <w:tcPr>
            <w:tcW w:w="1764" w:type="dxa"/>
            <w:gridSpan w:val="2"/>
            <w:vAlign w:val="center"/>
          </w:tcPr>
          <w:p w:rsidR="00B5393B" w:rsidRPr="00C769EC" w:rsidRDefault="00B5393B" w:rsidP="00D54EB6">
            <w:pPr>
              <w:spacing w:line="220" w:lineRule="exact"/>
              <w:jc w:val="center"/>
              <w:rPr>
                <w:rFonts w:hAnsi="標楷體"/>
                <w:sz w:val="20"/>
              </w:rPr>
            </w:pPr>
            <w:r w:rsidRPr="00C769EC">
              <w:rPr>
                <w:rFonts w:hAnsi="標楷體"/>
                <w:sz w:val="20"/>
              </w:rPr>
              <w:t>評價損益之金額</w:t>
            </w:r>
          </w:p>
        </w:tc>
        <w:tc>
          <w:tcPr>
            <w:tcW w:w="1917" w:type="dxa"/>
            <w:gridSpan w:val="2"/>
            <w:vAlign w:val="center"/>
          </w:tcPr>
          <w:p w:rsidR="00B5393B" w:rsidRPr="00C769EC" w:rsidRDefault="00B5393B" w:rsidP="00D54EB6">
            <w:pPr>
              <w:spacing w:line="220" w:lineRule="exact"/>
              <w:jc w:val="center"/>
              <w:rPr>
                <w:rFonts w:hAnsi="標楷體"/>
                <w:sz w:val="20"/>
              </w:rPr>
            </w:pPr>
            <w:r w:rsidRPr="00C769EC">
              <w:rPr>
                <w:rFonts w:hAnsi="標楷體"/>
                <w:sz w:val="20"/>
              </w:rPr>
              <w:t>本期增加</w:t>
            </w:r>
          </w:p>
        </w:tc>
        <w:tc>
          <w:tcPr>
            <w:tcW w:w="1988" w:type="dxa"/>
            <w:gridSpan w:val="2"/>
            <w:vAlign w:val="center"/>
          </w:tcPr>
          <w:p w:rsidR="00B5393B" w:rsidRPr="00C769EC" w:rsidRDefault="00B5393B" w:rsidP="00D54EB6">
            <w:pPr>
              <w:spacing w:line="220" w:lineRule="exact"/>
              <w:jc w:val="center"/>
              <w:rPr>
                <w:rFonts w:hAnsi="標楷體"/>
                <w:sz w:val="20"/>
              </w:rPr>
            </w:pPr>
            <w:r w:rsidRPr="00C769EC">
              <w:rPr>
                <w:rFonts w:hAnsi="標楷體"/>
                <w:sz w:val="20"/>
              </w:rPr>
              <w:t>本期減少</w:t>
            </w:r>
          </w:p>
        </w:tc>
        <w:tc>
          <w:tcPr>
            <w:tcW w:w="980" w:type="dxa"/>
            <w:vMerge w:val="restart"/>
            <w:vAlign w:val="center"/>
          </w:tcPr>
          <w:p w:rsidR="00B5393B" w:rsidRPr="00C769EC" w:rsidRDefault="00B5393B" w:rsidP="00D54EB6">
            <w:pPr>
              <w:spacing w:line="220" w:lineRule="exact"/>
              <w:jc w:val="center"/>
              <w:rPr>
                <w:rFonts w:hAnsi="標楷體"/>
                <w:sz w:val="20"/>
              </w:rPr>
            </w:pPr>
            <w:r w:rsidRPr="00C769EC">
              <w:rPr>
                <w:rFonts w:hAnsi="標楷體"/>
                <w:sz w:val="20"/>
              </w:rPr>
              <w:t>期末</w:t>
            </w:r>
          </w:p>
          <w:p w:rsidR="00B5393B" w:rsidRPr="00C769EC" w:rsidRDefault="00B5393B" w:rsidP="00D54EB6">
            <w:pPr>
              <w:spacing w:line="220" w:lineRule="exact"/>
              <w:jc w:val="center"/>
              <w:rPr>
                <w:rFonts w:hAnsi="標楷體"/>
                <w:sz w:val="20"/>
              </w:rPr>
            </w:pPr>
            <w:r w:rsidRPr="00C769EC">
              <w:rPr>
                <w:rFonts w:hAnsi="標楷體"/>
                <w:sz w:val="20"/>
              </w:rPr>
              <w:t>餘額</w:t>
            </w:r>
          </w:p>
        </w:tc>
      </w:tr>
      <w:tr w:rsidR="00B5393B" w:rsidRPr="00C769EC" w:rsidTr="00A37C7D">
        <w:trPr>
          <w:cantSplit/>
        </w:trPr>
        <w:tc>
          <w:tcPr>
            <w:tcW w:w="3409" w:type="dxa"/>
            <w:vMerge/>
            <w:vAlign w:val="center"/>
          </w:tcPr>
          <w:p w:rsidR="00B5393B" w:rsidRPr="00C769EC" w:rsidRDefault="00B5393B" w:rsidP="00D54EB6">
            <w:pPr>
              <w:spacing w:line="220" w:lineRule="exact"/>
              <w:jc w:val="center"/>
              <w:rPr>
                <w:rFonts w:hAnsi="標楷體"/>
                <w:sz w:val="20"/>
              </w:rPr>
            </w:pPr>
          </w:p>
        </w:tc>
        <w:tc>
          <w:tcPr>
            <w:tcW w:w="854" w:type="dxa"/>
            <w:vMerge/>
            <w:vAlign w:val="center"/>
          </w:tcPr>
          <w:p w:rsidR="00B5393B" w:rsidRPr="00C769EC" w:rsidRDefault="00B5393B" w:rsidP="00D54EB6">
            <w:pPr>
              <w:spacing w:line="220" w:lineRule="exact"/>
              <w:jc w:val="center"/>
              <w:rPr>
                <w:rFonts w:hAnsi="標楷體"/>
                <w:sz w:val="20"/>
              </w:rPr>
            </w:pPr>
          </w:p>
        </w:tc>
        <w:tc>
          <w:tcPr>
            <w:tcW w:w="798" w:type="dxa"/>
            <w:vAlign w:val="center"/>
          </w:tcPr>
          <w:p w:rsidR="00B5393B" w:rsidRPr="00C769EC" w:rsidRDefault="00B5393B" w:rsidP="00D54EB6">
            <w:pPr>
              <w:spacing w:line="220" w:lineRule="exact"/>
              <w:jc w:val="center"/>
              <w:rPr>
                <w:rFonts w:hAnsi="標楷體"/>
                <w:sz w:val="20"/>
              </w:rPr>
            </w:pPr>
            <w:r w:rsidRPr="00C769EC">
              <w:rPr>
                <w:rFonts w:hAnsi="標楷體"/>
                <w:sz w:val="20"/>
              </w:rPr>
              <w:t>列入</w:t>
            </w:r>
          </w:p>
          <w:p w:rsidR="00B5393B" w:rsidRPr="00C769EC" w:rsidRDefault="00B5393B" w:rsidP="00D54EB6">
            <w:pPr>
              <w:spacing w:line="220" w:lineRule="exact"/>
              <w:jc w:val="center"/>
              <w:rPr>
                <w:rFonts w:hAnsi="標楷體"/>
                <w:sz w:val="20"/>
              </w:rPr>
            </w:pPr>
            <w:r w:rsidRPr="00C769EC">
              <w:rPr>
                <w:rFonts w:hAnsi="標楷體"/>
                <w:sz w:val="20"/>
              </w:rPr>
              <w:t>損益</w:t>
            </w:r>
          </w:p>
        </w:tc>
        <w:tc>
          <w:tcPr>
            <w:tcW w:w="966" w:type="dxa"/>
            <w:vAlign w:val="center"/>
          </w:tcPr>
          <w:p w:rsidR="00B5393B" w:rsidRPr="00C769EC" w:rsidRDefault="00B5393B" w:rsidP="00D54EB6">
            <w:pPr>
              <w:spacing w:line="220" w:lineRule="exact"/>
              <w:jc w:val="center"/>
              <w:rPr>
                <w:rFonts w:hAnsi="標楷體"/>
                <w:sz w:val="20"/>
              </w:rPr>
            </w:pPr>
            <w:r w:rsidRPr="00C769EC">
              <w:rPr>
                <w:rFonts w:hAnsi="標楷體"/>
                <w:sz w:val="20"/>
              </w:rPr>
              <w:t>列入其他綜合損益</w:t>
            </w:r>
          </w:p>
        </w:tc>
        <w:tc>
          <w:tcPr>
            <w:tcW w:w="909" w:type="dxa"/>
            <w:vAlign w:val="center"/>
          </w:tcPr>
          <w:p w:rsidR="00B5393B" w:rsidRPr="00C769EC" w:rsidRDefault="00B5393B" w:rsidP="00D54EB6">
            <w:pPr>
              <w:spacing w:line="220" w:lineRule="exact"/>
              <w:jc w:val="center"/>
              <w:rPr>
                <w:rFonts w:hAnsi="標楷體"/>
                <w:sz w:val="20"/>
              </w:rPr>
            </w:pPr>
            <w:r w:rsidRPr="00C769EC">
              <w:rPr>
                <w:rFonts w:hAnsi="標楷體"/>
                <w:sz w:val="20"/>
              </w:rPr>
              <w:t>買進或</w:t>
            </w:r>
          </w:p>
          <w:p w:rsidR="00B5393B" w:rsidRPr="00C769EC" w:rsidRDefault="00B5393B" w:rsidP="00D54EB6">
            <w:pPr>
              <w:spacing w:line="220" w:lineRule="exact"/>
              <w:jc w:val="center"/>
              <w:rPr>
                <w:rFonts w:hAnsi="標楷體"/>
                <w:sz w:val="20"/>
              </w:rPr>
            </w:pPr>
            <w:r w:rsidRPr="00C769EC">
              <w:rPr>
                <w:rFonts w:hAnsi="標楷體"/>
                <w:sz w:val="20"/>
              </w:rPr>
              <w:t>發行</w:t>
            </w:r>
          </w:p>
        </w:tc>
        <w:tc>
          <w:tcPr>
            <w:tcW w:w="1008" w:type="dxa"/>
            <w:vAlign w:val="center"/>
          </w:tcPr>
          <w:p w:rsidR="00B5393B" w:rsidRPr="00C769EC" w:rsidRDefault="00B5393B" w:rsidP="00D54EB6">
            <w:pPr>
              <w:spacing w:line="220" w:lineRule="exact"/>
              <w:jc w:val="center"/>
              <w:rPr>
                <w:rFonts w:hAnsi="標楷體"/>
                <w:sz w:val="20"/>
              </w:rPr>
            </w:pPr>
            <w:r w:rsidRPr="00C769EC">
              <w:rPr>
                <w:rFonts w:hAnsi="標楷體"/>
                <w:sz w:val="20"/>
              </w:rPr>
              <w:t>轉入</w:t>
            </w:r>
          </w:p>
          <w:p w:rsidR="00B5393B" w:rsidRPr="00C769EC" w:rsidRDefault="00B5393B" w:rsidP="00C44367">
            <w:pPr>
              <w:spacing w:line="220" w:lineRule="exact"/>
              <w:jc w:val="center"/>
              <w:rPr>
                <w:rFonts w:hAnsi="標楷體"/>
                <w:sz w:val="20"/>
              </w:rPr>
            </w:pPr>
            <w:r w:rsidRPr="00C769EC">
              <w:rPr>
                <w:rFonts w:hAnsi="標楷體"/>
                <w:sz w:val="20"/>
              </w:rPr>
              <w:t>第三等級</w:t>
            </w:r>
            <w:r w:rsidR="00C44367" w:rsidRPr="00C769EC">
              <w:rPr>
                <w:rStyle w:val="af8"/>
                <w:rFonts w:hAnsi="標楷體" w:hint="eastAsia"/>
              </w:rPr>
              <w:t>3</w:t>
            </w:r>
          </w:p>
        </w:tc>
        <w:tc>
          <w:tcPr>
            <w:tcW w:w="994" w:type="dxa"/>
            <w:vAlign w:val="center"/>
          </w:tcPr>
          <w:p w:rsidR="00B5393B" w:rsidRPr="00C769EC" w:rsidRDefault="00B5393B" w:rsidP="00D54EB6">
            <w:pPr>
              <w:spacing w:line="220" w:lineRule="exact"/>
              <w:jc w:val="center"/>
              <w:rPr>
                <w:rFonts w:hAnsi="標楷體"/>
                <w:sz w:val="20"/>
              </w:rPr>
            </w:pPr>
            <w:r w:rsidRPr="00C769EC">
              <w:rPr>
                <w:rFonts w:hAnsi="標楷體"/>
                <w:sz w:val="20"/>
              </w:rPr>
              <w:t>賣出、處分或交割</w:t>
            </w:r>
          </w:p>
        </w:tc>
        <w:tc>
          <w:tcPr>
            <w:tcW w:w="994" w:type="dxa"/>
            <w:vAlign w:val="center"/>
          </w:tcPr>
          <w:p w:rsidR="00B5393B" w:rsidRPr="00C769EC" w:rsidRDefault="00B5393B" w:rsidP="00C44367">
            <w:pPr>
              <w:spacing w:line="220" w:lineRule="exact"/>
              <w:jc w:val="center"/>
              <w:rPr>
                <w:rFonts w:hAnsi="標楷體"/>
                <w:sz w:val="20"/>
              </w:rPr>
            </w:pPr>
            <w:r w:rsidRPr="00C769EC">
              <w:rPr>
                <w:rFonts w:hAnsi="標楷體"/>
                <w:sz w:val="20"/>
              </w:rPr>
              <w:t>自第三等級轉出</w:t>
            </w:r>
            <w:r w:rsidR="00C44367" w:rsidRPr="00C769EC">
              <w:rPr>
                <w:rStyle w:val="af8"/>
                <w:rFonts w:hAnsi="標楷體" w:hint="eastAsia"/>
              </w:rPr>
              <w:t>3</w:t>
            </w:r>
          </w:p>
        </w:tc>
        <w:tc>
          <w:tcPr>
            <w:tcW w:w="980" w:type="dxa"/>
            <w:vMerge/>
            <w:vAlign w:val="center"/>
          </w:tcPr>
          <w:p w:rsidR="00B5393B" w:rsidRPr="00C769EC" w:rsidRDefault="00B5393B" w:rsidP="00D54EB6">
            <w:pPr>
              <w:spacing w:line="220" w:lineRule="exact"/>
              <w:jc w:val="center"/>
              <w:rPr>
                <w:rFonts w:hAnsi="標楷體"/>
                <w:sz w:val="20"/>
              </w:rPr>
            </w:pPr>
          </w:p>
        </w:tc>
      </w:tr>
      <w:tr w:rsidR="00B5393B" w:rsidRPr="00C769EC" w:rsidTr="00A37C7D">
        <w:tc>
          <w:tcPr>
            <w:tcW w:w="3409" w:type="dxa"/>
          </w:tcPr>
          <w:p w:rsidR="00B5393B" w:rsidRPr="00C769EC" w:rsidRDefault="00B5393B" w:rsidP="00D54EB6">
            <w:pPr>
              <w:spacing w:line="220" w:lineRule="exact"/>
              <w:ind w:leftChars="10" w:left="248" w:hangingChars="112" w:hanging="224"/>
              <w:rPr>
                <w:rFonts w:hAnsi="標楷體"/>
                <w:kern w:val="0"/>
                <w:sz w:val="20"/>
              </w:rPr>
            </w:pPr>
            <w:r w:rsidRPr="00C769EC">
              <w:rPr>
                <w:rFonts w:hAnsi="標楷體"/>
                <w:kern w:val="0"/>
                <w:sz w:val="20"/>
              </w:rPr>
              <w:t>透過損益按公允價值衡量之金融資產</w:t>
            </w:r>
          </w:p>
          <w:p w:rsidR="00B5393B" w:rsidRPr="00C769EC" w:rsidRDefault="00B5393B" w:rsidP="00D54EB6">
            <w:pPr>
              <w:spacing w:line="220" w:lineRule="exact"/>
              <w:ind w:leftChars="102" w:left="453" w:hangingChars="104" w:hanging="208"/>
              <w:rPr>
                <w:rFonts w:hAnsi="標楷體"/>
                <w:kern w:val="0"/>
                <w:sz w:val="20"/>
              </w:rPr>
            </w:pPr>
            <w:proofErr w:type="gramStart"/>
            <w:r w:rsidRPr="00C769EC">
              <w:rPr>
                <w:rFonts w:hAnsi="標楷體"/>
                <w:kern w:val="0"/>
                <w:sz w:val="20"/>
              </w:rPr>
              <w:t>持有供交易之金</w:t>
            </w:r>
            <w:proofErr w:type="gramEnd"/>
            <w:r w:rsidRPr="00C769EC">
              <w:rPr>
                <w:rFonts w:hAnsi="標楷體"/>
                <w:kern w:val="0"/>
                <w:sz w:val="20"/>
              </w:rPr>
              <w:t>融資產</w:t>
            </w:r>
          </w:p>
          <w:p w:rsidR="00B5393B" w:rsidRPr="00C769EC" w:rsidRDefault="00B5393B" w:rsidP="00D54EB6">
            <w:pPr>
              <w:spacing w:line="220" w:lineRule="exact"/>
              <w:ind w:leftChars="102" w:left="453" w:hangingChars="104" w:hanging="208"/>
              <w:rPr>
                <w:rFonts w:hAnsi="標楷體"/>
                <w:kern w:val="0"/>
                <w:sz w:val="20"/>
              </w:rPr>
            </w:pPr>
            <w:r w:rsidRPr="00C769EC">
              <w:rPr>
                <w:rFonts w:hAnsi="標楷體"/>
                <w:kern w:val="0"/>
                <w:sz w:val="20"/>
              </w:rPr>
              <w:t>原始認列時指定透過損益按公允價值衡量之金融資產</w:t>
            </w:r>
          </w:p>
          <w:p w:rsidR="00B5393B" w:rsidRPr="00C769EC" w:rsidRDefault="00B5393B" w:rsidP="00D54EB6">
            <w:pPr>
              <w:spacing w:line="220" w:lineRule="exact"/>
              <w:ind w:left="200" w:rightChars="47" w:right="113" w:hangingChars="100" w:hanging="200"/>
              <w:jc w:val="both"/>
              <w:rPr>
                <w:rFonts w:hAnsi="標楷體"/>
                <w:kern w:val="0"/>
                <w:sz w:val="20"/>
              </w:rPr>
            </w:pPr>
            <w:r w:rsidRPr="00C769EC">
              <w:rPr>
                <w:rFonts w:hAnsi="標楷體"/>
                <w:kern w:val="0"/>
                <w:sz w:val="20"/>
              </w:rPr>
              <w:t>備供出售金融資產</w:t>
            </w:r>
          </w:p>
          <w:p w:rsidR="00B5393B" w:rsidRPr="00C769EC" w:rsidRDefault="00B5393B" w:rsidP="00C44367">
            <w:pPr>
              <w:spacing w:line="220" w:lineRule="exact"/>
              <w:ind w:left="200" w:rightChars="47" w:right="113" w:hangingChars="100" w:hanging="200"/>
              <w:jc w:val="both"/>
              <w:rPr>
                <w:rFonts w:hAnsi="標楷體"/>
                <w:sz w:val="20"/>
              </w:rPr>
            </w:pPr>
            <w:r w:rsidRPr="00C769EC">
              <w:rPr>
                <w:rFonts w:hAnsi="標楷體"/>
                <w:kern w:val="0"/>
                <w:sz w:val="20"/>
              </w:rPr>
              <w:t>避險之衍生金融資產</w:t>
            </w:r>
          </w:p>
        </w:tc>
        <w:tc>
          <w:tcPr>
            <w:tcW w:w="854" w:type="dxa"/>
          </w:tcPr>
          <w:p w:rsidR="00B5393B" w:rsidRPr="00C769EC" w:rsidRDefault="00B5393B" w:rsidP="00D54EB6">
            <w:pPr>
              <w:spacing w:line="220" w:lineRule="exact"/>
              <w:jc w:val="center"/>
              <w:rPr>
                <w:rFonts w:hAnsi="標楷體"/>
                <w:sz w:val="20"/>
              </w:rPr>
            </w:pPr>
          </w:p>
        </w:tc>
        <w:tc>
          <w:tcPr>
            <w:tcW w:w="798" w:type="dxa"/>
          </w:tcPr>
          <w:p w:rsidR="00B5393B" w:rsidRPr="00C769EC" w:rsidRDefault="00B5393B" w:rsidP="00D54EB6">
            <w:pPr>
              <w:spacing w:line="220" w:lineRule="exact"/>
              <w:jc w:val="center"/>
              <w:rPr>
                <w:rFonts w:hAnsi="標楷體"/>
                <w:sz w:val="20"/>
              </w:rPr>
            </w:pPr>
          </w:p>
        </w:tc>
        <w:tc>
          <w:tcPr>
            <w:tcW w:w="966" w:type="dxa"/>
          </w:tcPr>
          <w:p w:rsidR="00B5393B" w:rsidRPr="00C769EC" w:rsidRDefault="00B5393B" w:rsidP="00D54EB6">
            <w:pPr>
              <w:spacing w:line="220" w:lineRule="exact"/>
              <w:jc w:val="center"/>
              <w:rPr>
                <w:rFonts w:hAnsi="標楷體"/>
                <w:sz w:val="20"/>
              </w:rPr>
            </w:pPr>
          </w:p>
        </w:tc>
        <w:tc>
          <w:tcPr>
            <w:tcW w:w="909" w:type="dxa"/>
          </w:tcPr>
          <w:p w:rsidR="00B5393B" w:rsidRPr="00C769EC" w:rsidRDefault="00B5393B" w:rsidP="00D54EB6">
            <w:pPr>
              <w:spacing w:line="220" w:lineRule="exact"/>
              <w:jc w:val="center"/>
              <w:rPr>
                <w:rFonts w:hAnsi="標楷體"/>
                <w:sz w:val="20"/>
              </w:rPr>
            </w:pPr>
          </w:p>
        </w:tc>
        <w:tc>
          <w:tcPr>
            <w:tcW w:w="1008" w:type="dxa"/>
          </w:tcPr>
          <w:p w:rsidR="00B5393B" w:rsidRPr="00C769EC" w:rsidRDefault="00B5393B" w:rsidP="00D54EB6">
            <w:pPr>
              <w:spacing w:line="220" w:lineRule="exact"/>
              <w:jc w:val="center"/>
              <w:rPr>
                <w:rFonts w:hAnsi="標楷體"/>
                <w:sz w:val="20"/>
              </w:rPr>
            </w:pPr>
          </w:p>
        </w:tc>
        <w:tc>
          <w:tcPr>
            <w:tcW w:w="994" w:type="dxa"/>
          </w:tcPr>
          <w:p w:rsidR="00B5393B" w:rsidRPr="00C769EC" w:rsidRDefault="00B5393B" w:rsidP="00D54EB6">
            <w:pPr>
              <w:spacing w:line="220" w:lineRule="exact"/>
              <w:jc w:val="center"/>
              <w:rPr>
                <w:rFonts w:hAnsi="標楷體"/>
                <w:sz w:val="20"/>
              </w:rPr>
            </w:pPr>
          </w:p>
        </w:tc>
        <w:tc>
          <w:tcPr>
            <w:tcW w:w="994" w:type="dxa"/>
          </w:tcPr>
          <w:p w:rsidR="00B5393B" w:rsidRPr="00C769EC" w:rsidRDefault="00B5393B" w:rsidP="00D54EB6">
            <w:pPr>
              <w:spacing w:line="220" w:lineRule="exact"/>
              <w:jc w:val="center"/>
              <w:rPr>
                <w:rFonts w:hAnsi="標楷體"/>
                <w:sz w:val="20"/>
              </w:rPr>
            </w:pPr>
          </w:p>
        </w:tc>
        <w:tc>
          <w:tcPr>
            <w:tcW w:w="980" w:type="dxa"/>
          </w:tcPr>
          <w:p w:rsidR="00B5393B" w:rsidRPr="00C769EC" w:rsidRDefault="00B5393B" w:rsidP="00D54EB6">
            <w:pPr>
              <w:spacing w:line="220" w:lineRule="exact"/>
              <w:jc w:val="center"/>
              <w:rPr>
                <w:rFonts w:hAnsi="標楷體"/>
                <w:sz w:val="20"/>
              </w:rPr>
            </w:pPr>
          </w:p>
        </w:tc>
      </w:tr>
      <w:tr w:rsidR="00B5393B" w:rsidRPr="00C769EC" w:rsidTr="00A37C7D">
        <w:trPr>
          <w:trHeight w:val="317"/>
        </w:trPr>
        <w:tc>
          <w:tcPr>
            <w:tcW w:w="3409" w:type="dxa"/>
          </w:tcPr>
          <w:p w:rsidR="00B5393B" w:rsidRPr="00C769EC" w:rsidRDefault="00B5393B" w:rsidP="00D54EB6">
            <w:pPr>
              <w:spacing w:line="220" w:lineRule="exact"/>
              <w:jc w:val="both"/>
              <w:rPr>
                <w:rFonts w:hAnsi="標楷體"/>
                <w:sz w:val="20"/>
              </w:rPr>
            </w:pPr>
            <w:r w:rsidRPr="00C769EC">
              <w:rPr>
                <w:rFonts w:hAnsi="標楷體"/>
                <w:sz w:val="20"/>
              </w:rPr>
              <w:t>合計</w:t>
            </w:r>
          </w:p>
        </w:tc>
        <w:tc>
          <w:tcPr>
            <w:tcW w:w="854" w:type="dxa"/>
          </w:tcPr>
          <w:p w:rsidR="00B5393B" w:rsidRPr="00C769EC" w:rsidRDefault="00B5393B" w:rsidP="00D54EB6">
            <w:pPr>
              <w:spacing w:line="220" w:lineRule="exact"/>
              <w:jc w:val="center"/>
              <w:rPr>
                <w:rFonts w:hAnsi="標楷體"/>
                <w:sz w:val="20"/>
              </w:rPr>
            </w:pPr>
          </w:p>
        </w:tc>
        <w:tc>
          <w:tcPr>
            <w:tcW w:w="798" w:type="dxa"/>
          </w:tcPr>
          <w:p w:rsidR="00B5393B" w:rsidRPr="00C769EC" w:rsidRDefault="00B5393B" w:rsidP="00D54EB6">
            <w:pPr>
              <w:spacing w:line="220" w:lineRule="exact"/>
              <w:jc w:val="center"/>
              <w:rPr>
                <w:rFonts w:hAnsi="標楷體"/>
                <w:sz w:val="20"/>
              </w:rPr>
            </w:pPr>
          </w:p>
        </w:tc>
        <w:tc>
          <w:tcPr>
            <w:tcW w:w="966" w:type="dxa"/>
          </w:tcPr>
          <w:p w:rsidR="00B5393B" w:rsidRPr="00C769EC" w:rsidRDefault="00B5393B" w:rsidP="00D54EB6">
            <w:pPr>
              <w:spacing w:line="220" w:lineRule="exact"/>
              <w:jc w:val="center"/>
              <w:rPr>
                <w:rFonts w:hAnsi="標楷體"/>
                <w:sz w:val="20"/>
              </w:rPr>
            </w:pPr>
          </w:p>
        </w:tc>
        <w:tc>
          <w:tcPr>
            <w:tcW w:w="909" w:type="dxa"/>
          </w:tcPr>
          <w:p w:rsidR="00B5393B" w:rsidRPr="00C769EC" w:rsidRDefault="00B5393B" w:rsidP="00D54EB6">
            <w:pPr>
              <w:spacing w:line="220" w:lineRule="exact"/>
              <w:jc w:val="center"/>
              <w:rPr>
                <w:rFonts w:hAnsi="標楷體"/>
                <w:sz w:val="20"/>
              </w:rPr>
            </w:pPr>
          </w:p>
        </w:tc>
        <w:tc>
          <w:tcPr>
            <w:tcW w:w="1008" w:type="dxa"/>
          </w:tcPr>
          <w:p w:rsidR="00B5393B" w:rsidRPr="00C769EC" w:rsidRDefault="00B5393B" w:rsidP="00D54EB6">
            <w:pPr>
              <w:spacing w:line="220" w:lineRule="exact"/>
              <w:jc w:val="center"/>
              <w:rPr>
                <w:rFonts w:hAnsi="標楷體"/>
                <w:sz w:val="20"/>
              </w:rPr>
            </w:pPr>
          </w:p>
        </w:tc>
        <w:tc>
          <w:tcPr>
            <w:tcW w:w="994" w:type="dxa"/>
          </w:tcPr>
          <w:p w:rsidR="00B5393B" w:rsidRPr="00C769EC" w:rsidRDefault="00B5393B" w:rsidP="00D54EB6">
            <w:pPr>
              <w:spacing w:line="220" w:lineRule="exact"/>
              <w:jc w:val="center"/>
              <w:rPr>
                <w:rFonts w:hAnsi="標楷體"/>
                <w:sz w:val="20"/>
              </w:rPr>
            </w:pPr>
          </w:p>
        </w:tc>
        <w:tc>
          <w:tcPr>
            <w:tcW w:w="994" w:type="dxa"/>
          </w:tcPr>
          <w:p w:rsidR="00B5393B" w:rsidRPr="00C769EC" w:rsidRDefault="00B5393B" w:rsidP="00D54EB6">
            <w:pPr>
              <w:spacing w:line="220" w:lineRule="exact"/>
              <w:jc w:val="center"/>
              <w:rPr>
                <w:rFonts w:hAnsi="標楷體"/>
                <w:sz w:val="20"/>
              </w:rPr>
            </w:pPr>
          </w:p>
        </w:tc>
        <w:tc>
          <w:tcPr>
            <w:tcW w:w="980" w:type="dxa"/>
          </w:tcPr>
          <w:p w:rsidR="00B5393B" w:rsidRPr="00C769EC" w:rsidRDefault="00B5393B" w:rsidP="00D54EB6">
            <w:pPr>
              <w:spacing w:line="220" w:lineRule="exact"/>
              <w:jc w:val="center"/>
              <w:rPr>
                <w:rFonts w:hAnsi="標楷體"/>
                <w:sz w:val="20"/>
              </w:rPr>
            </w:pPr>
          </w:p>
        </w:tc>
      </w:tr>
      <w:tr w:rsidR="00DB7C1D" w:rsidRPr="00C769EC" w:rsidTr="00A37C7D">
        <w:trPr>
          <w:trHeight w:val="317"/>
        </w:trPr>
        <w:tc>
          <w:tcPr>
            <w:tcW w:w="3409" w:type="dxa"/>
          </w:tcPr>
          <w:p w:rsidR="00DB7C1D" w:rsidRPr="00C769EC" w:rsidRDefault="00DB7C1D" w:rsidP="00D54EB6">
            <w:pPr>
              <w:spacing w:line="220" w:lineRule="exact"/>
              <w:ind w:leftChars="10" w:left="248" w:hangingChars="112" w:hanging="224"/>
              <w:rPr>
                <w:rFonts w:hAnsi="標楷體"/>
                <w:kern w:val="0"/>
                <w:sz w:val="20"/>
              </w:rPr>
            </w:pPr>
            <w:r w:rsidRPr="00C769EC">
              <w:rPr>
                <w:rFonts w:hAnsi="標楷體"/>
                <w:kern w:val="0"/>
                <w:sz w:val="20"/>
              </w:rPr>
              <w:t>透過損益按公允價值衡量之金融負債</w:t>
            </w:r>
          </w:p>
          <w:p w:rsidR="00DB7C1D" w:rsidRPr="00C769EC" w:rsidRDefault="00DB7C1D" w:rsidP="00D54EB6">
            <w:pPr>
              <w:spacing w:line="220" w:lineRule="exact"/>
              <w:ind w:leftChars="102" w:left="453" w:hangingChars="104" w:hanging="208"/>
              <w:rPr>
                <w:rFonts w:hAnsi="標楷體"/>
                <w:kern w:val="0"/>
                <w:sz w:val="20"/>
              </w:rPr>
            </w:pPr>
            <w:r w:rsidRPr="00C769EC">
              <w:rPr>
                <w:rFonts w:hAnsi="標楷體"/>
                <w:kern w:val="0"/>
                <w:sz w:val="20"/>
              </w:rPr>
              <w:t>持有供交易之金融負債</w:t>
            </w:r>
          </w:p>
          <w:p w:rsidR="00DB7C1D" w:rsidRPr="00C769EC" w:rsidRDefault="00DB7C1D" w:rsidP="00D54EB6">
            <w:pPr>
              <w:spacing w:line="220" w:lineRule="exact"/>
              <w:ind w:leftChars="102" w:left="453" w:hangingChars="104" w:hanging="208"/>
              <w:rPr>
                <w:rFonts w:hAnsi="標楷體"/>
                <w:kern w:val="0"/>
                <w:sz w:val="20"/>
              </w:rPr>
            </w:pPr>
            <w:r w:rsidRPr="00C769EC">
              <w:rPr>
                <w:rFonts w:hAnsi="標楷體"/>
                <w:kern w:val="0"/>
                <w:sz w:val="20"/>
              </w:rPr>
              <w:t>原始認列時指定透過損益按公允價值衡量之金融負債</w:t>
            </w:r>
          </w:p>
          <w:p w:rsidR="00DB7C1D" w:rsidRPr="00C769EC" w:rsidRDefault="00DB7C1D" w:rsidP="00D54EB6">
            <w:pPr>
              <w:spacing w:line="220" w:lineRule="exact"/>
              <w:ind w:left="200" w:rightChars="47" w:right="113" w:hangingChars="100" w:hanging="200"/>
              <w:jc w:val="both"/>
              <w:rPr>
                <w:rFonts w:hAnsi="標楷體"/>
                <w:sz w:val="20"/>
              </w:rPr>
            </w:pPr>
            <w:r w:rsidRPr="00C769EC">
              <w:rPr>
                <w:rFonts w:hAnsi="標楷體"/>
                <w:kern w:val="0"/>
                <w:sz w:val="20"/>
              </w:rPr>
              <w:t>避險之衍生金融負債</w:t>
            </w:r>
          </w:p>
        </w:tc>
        <w:tc>
          <w:tcPr>
            <w:tcW w:w="854" w:type="dxa"/>
          </w:tcPr>
          <w:p w:rsidR="00DB7C1D" w:rsidRPr="00C769EC" w:rsidRDefault="00DB7C1D" w:rsidP="00D54EB6">
            <w:pPr>
              <w:spacing w:line="220" w:lineRule="exact"/>
              <w:jc w:val="center"/>
              <w:rPr>
                <w:rFonts w:hAnsi="標楷體"/>
                <w:sz w:val="20"/>
              </w:rPr>
            </w:pPr>
          </w:p>
        </w:tc>
        <w:tc>
          <w:tcPr>
            <w:tcW w:w="798" w:type="dxa"/>
          </w:tcPr>
          <w:p w:rsidR="00DB7C1D" w:rsidRPr="00C769EC" w:rsidRDefault="00DB7C1D" w:rsidP="00D54EB6">
            <w:pPr>
              <w:spacing w:line="220" w:lineRule="exact"/>
              <w:jc w:val="center"/>
              <w:rPr>
                <w:rFonts w:hAnsi="標楷體"/>
                <w:sz w:val="20"/>
              </w:rPr>
            </w:pPr>
          </w:p>
        </w:tc>
        <w:tc>
          <w:tcPr>
            <w:tcW w:w="966" w:type="dxa"/>
          </w:tcPr>
          <w:p w:rsidR="00DB7C1D" w:rsidRPr="00C769EC" w:rsidRDefault="00DB7C1D" w:rsidP="00D54EB6">
            <w:pPr>
              <w:spacing w:line="220" w:lineRule="exact"/>
              <w:jc w:val="center"/>
              <w:rPr>
                <w:rFonts w:hAnsi="標楷體"/>
                <w:sz w:val="20"/>
              </w:rPr>
            </w:pPr>
          </w:p>
        </w:tc>
        <w:tc>
          <w:tcPr>
            <w:tcW w:w="909" w:type="dxa"/>
          </w:tcPr>
          <w:p w:rsidR="00DB7C1D" w:rsidRPr="00C769EC" w:rsidRDefault="00DB7C1D" w:rsidP="00D54EB6">
            <w:pPr>
              <w:spacing w:line="220" w:lineRule="exact"/>
              <w:jc w:val="center"/>
              <w:rPr>
                <w:rFonts w:hAnsi="標楷體"/>
                <w:sz w:val="20"/>
              </w:rPr>
            </w:pPr>
          </w:p>
        </w:tc>
        <w:tc>
          <w:tcPr>
            <w:tcW w:w="1008" w:type="dxa"/>
          </w:tcPr>
          <w:p w:rsidR="00DB7C1D" w:rsidRPr="00C769EC" w:rsidRDefault="00DB7C1D" w:rsidP="00D54EB6">
            <w:pPr>
              <w:spacing w:line="220" w:lineRule="exact"/>
              <w:jc w:val="center"/>
              <w:rPr>
                <w:rFonts w:hAnsi="標楷體"/>
                <w:sz w:val="20"/>
              </w:rPr>
            </w:pPr>
          </w:p>
        </w:tc>
        <w:tc>
          <w:tcPr>
            <w:tcW w:w="994" w:type="dxa"/>
          </w:tcPr>
          <w:p w:rsidR="00DB7C1D" w:rsidRPr="00C769EC" w:rsidRDefault="00DB7C1D" w:rsidP="00D54EB6">
            <w:pPr>
              <w:spacing w:line="220" w:lineRule="exact"/>
              <w:jc w:val="center"/>
              <w:rPr>
                <w:rFonts w:hAnsi="標楷體"/>
                <w:sz w:val="20"/>
              </w:rPr>
            </w:pPr>
          </w:p>
        </w:tc>
        <w:tc>
          <w:tcPr>
            <w:tcW w:w="994" w:type="dxa"/>
          </w:tcPr>
          <w:p w:rsidR="00DB7C1D" w:rsidRPr="00C769EC" w:rsidRDefault="00DB7C1D" w:rsidP="00D54EB6">
            <w:pPr>
              <w:spacing w:line="220" w:lineRule="exact"/>
              <w:jc w:val="center"/>
              <w:rPr>
                <w:rFonts w:hAnsi="標楷體"/>
                <w:sz w:val="20"/>
              </w:rPr>
            </w:pPr>
          </w:p>
        </w:tc>
        <w:tc>
          <w:tcPr>
            <w:tcW w:w="980" w:type="dxa"/>
          </w:tcPr>
          <w:p w:rsidR="00DB7C1D" w:rsidRPr="00C769EC" w:rsidRDefault="00DB7C1D" w:rsidP="00D54EB6">
            <w:pPr>
              <w:spacing w:line="220" w:lineRule="exact"/>
              <w:jc w:val="center"/>
              <w:rPr>
                <w:rFonts w:hAnsi="標楷體"/>
                <w:sz w:val="20"/>
              </w:rPr>
            </w:pPr>
          </w:p>
        </w:tc>
      </w:tr>
      <w:tr w:rsidR="00DB7C1D" w:rsidRPr="00C769EC" w:rsidTr="00A37C7D">
        <w:trPr>
          <w:trHeight w:val="317"/>
        </w:trPr>
        <w:tc>
          <w:tcPr>
            <w:tcW w:w="3409" w:type="dxa"/>
          </w:tcPr>
          <w:p w:rsidR="00DB7C1D" w:rsidRPr="00C769EC" w:rsidRDefault="00DB7C1D" w:rsidP="00D54EB6">
            <w:pPr>
              <w:spacing w:line="220" w:lineRule="exact"/>
              <w:jc w:val="both"/>
              <w:rPr>
                <w:rFonts w:hAnsi="標楷體"/>
                <w:sz w:val="20"/>
              </w:rPr>
            </w:pPr>
            <w:r w:rsidRPr="00C769EC">
              <w:rPr>
                <w:rFonts w:hAnsi="標楷體"/>
                <w:sz w:val="20"/>
              </w:rPr>
              <w:t>合計</w:t>
            </w:r>
          </w:p>
        </w:tc>
        <w:tc>
          <w:tcPr>
            <w:tcW w:w="854" w:type="dxa"/>
          </w:tcPr>
          <w:p w:rsidR="00DB7C1D" w:rsidRPr="00C769EC" w:rsidRDefault="00DB7C1D" w:rsidP="00D54EB6">
            <w:pPr>
              <w:spacing w:line="220" w:lineRule="exact"/>
              <w:jc w:val="center"/>
              <w:rPr>
                <w:rFonts w:hAnsi="標楷體"/>
                <w:sz w:val="20"/>
              </w:rPr>
            </w:pPr>
          </w:p>
        </w:tc>
        <w:tc>
          <w:tcPr>
            <w:tcW w:w="798" w:type="dxa"/>
          </w:tcPr>
          <w:p w:rsidR="00DB7C1D" w:rsidRPr="00C769EC" w:rsidRDefault="00DB7C1D" w:rsidP="00D54EB6">
            <w:pPr>
              <w:spacing w:line="220" w:lineRule="exact"/>
              <w:jc w:val="center"/>
              <w:rPr>
                <w:rFonts w:hAnsi="標楷體"/>
                <w:sz w:val="20"/>
              </w:rPr>
            </w:pPr>
          </w:p>
        </w:tc>
        <w:tc>
          <w:tcPr>
            <w:tcW w:w="966" w:type="dxa"/>
          </w:tcPr>
          <w:p w:rsidR="00DB7C1D" w:rsidRPr="00C769EC" w:rsidRDefault="00DB7C1D" w:rsidP="00D54EB6">
            <w:pPr>
              <w:spacing w:line="220" w:lineRule="exact"/>
              <w:jc w:val="center"/>
              <w:rPr>
                <w:rFonts w:hAnsi="標楷體"/>
                <w:sz w:val="20"/>
              </w:rPr>
            </w:pPr>
          </w:p>
        </w:tc>
        <w:tc>
          <w:tcPr>
            <w:tcW w:w="909" w:type="dxa"/>
          </w:tcPr>
          <w:p w:rsidR="00DB7C1D" w:rsidRPr="00C769EC" w:rsidRDefault="00DB7C1D" w:rsidP="00D54EB6">
            <w:pPr>
              <w:spacing w:line="220" w:lineRule="exact"/>
              <w:jc w:val="center"/>
              <w:rPr>
                <w:rFonts w:hAnsi="標楷體"/>
                <w:sz w:val="20"/>
              </w:rPr>
            </w:pPr>
          </w:p>
        </w:tc>
        <w:tc>
          <w:tcPr>
            <w:tcW w:w="1008" w:type="dxa"/>
          </w:tcPr>
          <w:p w:rsidR="00DB7C1D" w:rsidRPr="00C769EC" w:rsidRDefault="00DB7C1D" w:rsidP="00D54EB6">
            <w:pPr>
              <w:spacing w:line="220" w:lineRule="exact"/>
              <w:jc w:val="center"/>
              <w:rPr>
                <w:rFonts w:hAnsi="標楷體"/>
                <w:sz w:val="20"/>
              </w:rPr>
            </w:pPr>
          </w:p>
        </w:tc>
        <w:tc>
          <w:tcPr>
            <w:tcW w:w="994" w:type="dxa"/>
          </w:tcPr>
          <w:p w:rsidR="00DB7C1D" w:rsidRPr="00C769EC" w:rsidRDefault="00DB7C1D" w:rsidP="00D54EB6">
            <w:pPr>
              <w:spacing w:line="220" w:lineRule="exact"/>
              <w:jc w:val="center"/>
              <w:rPr>
                <w:rFonts w:hAnsi="標楷體"/>
                <w:sz w:val="20"/>
              </w:rPr>
            </w:pPr>
          </w:p>
        </w:tc>
        <w:tc>
          <w:tcPr>
            <w:tcW w:w="994" w:type="dxa"/>
          </w:tcPr>
          <w:p w:rsidR="00DB7C1D" w:rsidRPr="00C769EC" w:rsidRDefault="00DB7C1D" w:rsidP="00D54EB6">
            <w:pPr>
              <w:spacing w:line="220" w:lineRule="exact"/>
              <w:jc w:val="center"/>
              <w:rPr>
                <w:rFonts w:hAnsi="標楷體"/>
                <w:sz w:val="20"/>
              </w:rPr>
            </w:pPr>
          </w:p>
        </w:tc>
        <w:tc>
          <w:tcPr>
            <w:tcW w:w="980" w:type="dxa"/>
          </w:tcPr>
          <w:p w:rsidR="00DB7C1D" w:rsidRPr="00C769EC" w:rsidRDefault="00DB7C1D" w:rsidP="00D54EB6">
            <w:pPr>
              <w:spacing w:line="220" w:lineRule="exact"/>
              <w:jc w:val="center"/>
              <w:rPr>
                <w:rFonts w:hAnsi="標楷體"/>
                <w:sz w:val="20"/>
              </w:rPr>
            </w:pPr>
          </w:p>
        </w:tc>
      </w:tr>
    </w:tbl>
    <w:p w:rsidR="00B5393B" w:rsidRPr="00C769EC" w:rsidRDefault="00B5393B" w:rsidP="00B5393B">
      <w:pPr>
        <w:rPr>
          <w:rFonts w:hAnsi="標楷體"/>
        </w:rPr>
      </w:pPr>
    </w:p>
    <w:tbl>
      <w:tblPr>
        <w:tblW w:w="10885" w:type="dxa"/>
        <w:tblInd w:w="-512" w:type="dxa"/>
        <w:tblLayout w:type="fixed"/>
        <w:tblCellMar>
          <w:left w:w="28" w:type="dxa"/>
          <w:right w:w="28" w:type="dxa"/>
        </w:tblCellMar>
        <w:tblLook w:val="01E0"/>
      </w:tblPr>
      <w:tblGrid>
        <w:gridCol w:w="1260"/>
        <w:gridCol w:w="9625"/>
      </w:tblGrid>
      <w:tr w:rsidR="00B5393B" w:rsidRPr="00C769EC" w:rsidTr="00A37C7D">
        <w:tc>
          <w:tcPr>
            <w:tcW w:w="1260" w:type="dxa"/>
          </w:tcPr>
          <w:p w:rsidR="00B5393B" w:rsidRPr="00C769EC" w:rsidRDefault="00B5393B" w:rsidP="007C1361">
            <w:pPr>
              <w:snapToGrid w:val="0"/>
              <w:rPr>
                <w:rFonts w:hAnsi="標楷體" w:cs="Arial"/>
                <w:sz w:val="16"/>
                <w:szCs w:val="16"/>
              </w:rPr>
            </w:pPr>
            <w:r w:rsidRPr="00C769EC">
              <w:rPr>
                <w:rFonts w:hAnsi="標楷體" w:cs="Arial"/>
                <w:sz w:val="16"/>
                <w:szCs w:val="16"/>
              </w:rPr>
              <w:lastRenderedPageBreak/>
              <w:t>IFRS</w:t>
            </w:r>
            <w:r w:rsidRPr="00C769EC">
              <w:rPr>
                <w:rFonts w:hAnsi="標楷體" w:cs="Arial" w:hint="eastAsia"/>
                <w:sz w:val="16"/>
                <w:szCs w:val="16"/>
              </w:rPr>
              <w:t>13</w:t>
            </w:r>
            <w:r w:rsidR="007C1361" w:rsidRPr="00C769EC">
              <w:rPr>
                <w:rFonts w:hAnsi="標楷體" w:cs="Arial" w:hint="eastAsia"/>
                <w:sz w:val="16"/>
                <w:szCs w:val="16"/>
              </w:rPr>
              <w:t>.</w:t>
            </w:r>
            <w:r w:rsidRPr="00C769EC">
              <w:rPr>
                <w:rFonts w:hAnsi="標楷體" w:cs="Arial" w:hint="eastAsia"/>
                <w:sz w:val="16"/>
                <w:szCs w:val="16"/>
              </w:rPr>
              <w:t>93(e)(ii),</w:t>
            </w:r>
            <w:r w:rsidRPr="00C769EC">
              <w:rPr>
                <w:rFonts w:hAnsi="標楷體" w:cs="Arial"/>
                <w:sz w:val="16"/>
                <w:szCs w:val="16"/>
              </w:rPr>
              <w:t xml:space="preserve"> IFRS13</w:t>
            </w:r>
            <w:r w:rsidR="007C1361" w:rsidRPr="00C769EC">
              <w:rPr>
                <w:rFonts w:hAnsi="標楷體" w:cs="Arial" w:hint="eastAsia"/>
                <w:sz w:val="16"/>
                <w:szCs w:val="16"/>
              </w:rPr>
              <w:t>.</w:t>
            </w:r>
            <w:r w:rsidRPr="00C769EC">
              <w:rPr>
                <w:rFonts w:hAnsi="標楷體" w:cs="Arial"/>
                <w:sz w:val="16"/>
                <w:szCs w:val="16"/>
              </w:rPr>
              <w:t>93(</w:t>
            </w:r>
            <w:r w:rsidRPr="00C769EC">
              <w:rPr>
                <w:rFonts w:hAnsi="標楷體" w:cs="Arial" w:hint="eastAsia"/>
                <w:sz w:val="16"/>
                <w:szCs w:val="16"/>
              </w:rPr>
              <w:t>f</w:t>
            </w:r>
            <w:r w:rsidRPr="00C769EC">
              <w:rPr>
                <w:rFonts w:hAnsi="標楷體" w:cs="Arial"/>
                <w:sz w:val="16"/>
                <w:szCs w:val="16"/>
              </w:rPr>
              <w:t>)</w:t>
            </w:r>
          </w:p>
        </w:tc>
        <w:tc>
          <w:tcPr>
            <w:tcW w:w="9625" w:type="dxa"/>
          </w:tcPr>
          <w:p w:rsidR="00B5393B" w:rsidRPr="00C769EC" w:rsidRDefault="00B5393B" w:rsidP="00D54EB6">
            <w:pPr>
              <w:spacing w:before="120" w:after="120"/>
              <w:ind w:leftChars="751" w:left="1802"/>
              <w:jc w:val="both"/>
              <w:outlineLvl w:val="3"/>
              <w:rPr>
                <w:rFonts w:hAnsi="標楷體"/>
                <w:sz w:val="32"/>
                <w:szCs w:val="32"/>
              </w:rPr>
            </w:pPr>
            <w:r w:rsidRPr="00C769EC">
              <w:rPr>
                <w:rFonts w:hAnsi="標楷體"/>
                <w:sz w:val="32"/>
                <w:szCs w:val="32"/>
              </w:rPr>
              <w:t>上述評價損益列入當期損益之金額中，歸屬於截至民國</w:t>
            </w:r>
            <w:r w:rsidR="00C44367" w:rsidRPr="00C769EC">
              <w:rPr>
                <w:rFonts w:hAnsi="標楷體" w:hint="eastAsia"/>
                <w:sz w:val="32"/>
                <w:szCs w:val="32"/>
              </w:rPr>
              <w:t>104</w:t>
            </w:r>
            <w:r w:rsidRPr="00C769EC">
              <w:rPr>
                <w:rFonts w:hAnsi="標楷體"/>
                <w:sz w:val="32"/>
                <w:szCs w:val="32"/>
              </w:rPr>
              <w:t>年及</w:t>
            </w:r>
            <w:proofErr w:type="gramStart"/>
            <w:r w:rsidR="00C44367" w:rsidRPr="00C769EC">
              <w:rPr>
                <w:rFonts w:hAnsi="標楷體" w:hint="eastAsia"/>
                <w:sz w:val="32"/>
                <w:szCs w:val="32"/>
              </w:rPr>
              <w:t>103</w:t>
            </w:r>
            <w:r w:rsidRPr="00C769EC">
              <w:rPr>
                <w:rFonts w:hAnsi="標楷體"/>
                <w:sz w:val="32"/>
                <w:szCs w:val="32"/>
              </w:rPr>
              <w:t>年12月31日止帳上</w:t>
            </w:r>
            <w:proofErr w:type="gramEnd"/>
            <w:r w:rsidRPr="00C769EC">
              <w:rPr>
                <w:rFonts w:hAnsi="標楷體"/>
                <w:sz w:val="32"/>
                <w:szCs w:val="32"/>
              </w:rPr>
              <w:t>仍持有之資產之損益金額分別為</w:t>
            </w:r>
            <w:r w:rsidR="00C44367" w:rsidRPr="00C769EC">
              <w:rPr>
                <w:rFonts w:hAnsi="標楷體" w:hint="eastAsia"/>
                <w:sz w:val="32"/>
                <w:szCs w:val="32"/>
              </w:rPr>
              <w:t>$</w:t>
            </w:r>
            <w:r w:rsidRPr="00C769EC">
              <w:rPr>
                <w:rFonts w:hAnsi="標楷體"/>
                <w:sz w:val="32"/>
                <w:szCs w:val="32"/>
              </w:rPr>
              <w:t>XXX及</w:t>
            </w:r>
            <w:r w:rsidR="00C44367" w:rsidRPr="00C769EC">
              <w:rPr>
                <w:rFonts w:hAnsi="標楷體" w:hint="eastAsia"/>
                <w:sz w:val="32"/>
                <w:szCs w:val="32"/>
              </w:rPr>
              <w:t>$</w:t>
            </w:r>
            <w:r w:rsidRPr="00C769EC">
              <w:rPr>
                <w:rFonts w:hAnsi="標楷體"/>
                <w:sz w:val="32"/>
                <w:szCs w:val="32"/>
              </w:rPr>
              <w:t>XXX。</w:t>
            </w:r>
          </w:p>
          <w:p w:rsidR="00B5393B" w:rsidRPr="00C769EC" w:rsidRDefault="00B5393B" w:rsidP="00C44367">
            <w:pPr>
              <w:spacing w:before="120" w:after="120"/>
              <w:ind w:leftChars="751" w:left="1802"/>
              <w:jc w:val="both"/>
              <w:outlineLvl w:val="3"/>
              <w:rPr>
                <w:rFonts w:hAnsi="標楷體"/>
                <w:sz w:val="32"/>
                <w:szCs w:val="32"/>
              </w:rPr>
            </w:pPr>
            <w:r w:rsidRPr="00C769EC">
              <w:rPr>
                <w:rFonts w:hAnsi="標楷體"/>
                <w:sz w:val="32"/>
                <w:szCs w:val="32"/>
              </w:rPr>
              <w:t>上述評價損益列入其他綜合損益之金額中，歸屬於截至民國</w:t>
            </w:r>
            <w:r w:rsidR="00C44367" w:rsidRPr="00C769EC">
              <w:rPr>
                <w:rFonts w:hAnsi="標楷體" w:hint="eastAsia"/>
                <w:sz w:val="32"/>
                <w:szCs w:val="32"/>
              </w:rPr>
              <w:t>104</w:t>
            </w:r>
            <w:r w:rsidRPr="00C769EC">
              <w:rPr>
                <w:rFonts w:hAnsi="標楷體"/>
                <w:sz w:val="32"/>
                <w:szCs w:val="32"/>
              </w:rPr>
              <w:t>年及</w:t>
            </w:r>
            <w:proofErr w:type="gramStart"/>
            <w:r w:rsidR="00C44367" w:rsidRPr="00C769EC">
              <w:rPr>
                <w:rFonts w:hAnsi="標楷體" w:hint="eastAsia"/>
                <w:sz w:val="32"/>
                <w:szCs w:val="32"/>
              </w:rPr>
              <w:t>103</w:t>
            </w:r>
            <w:r w:rsidRPr="00C769EC">
              <w:rPr>
                <w:rFonts w:hAnsi="標楷體"/>
                <w:sz w:val="32"/>
                <w:szCs w:val="32"/>
              </w:rPr>
              <w:t>年12月31日止帳上</w:t>
            </w:r>
            <w:proofErr w:type="gramEnd"/>
            <w:r w:rsidRPr="00C769EC">
              <w:rPr>
                <w:rFonts w:hAnsi="標楷體"/>
                <w:sz w:val="32"/>
                <w:szCs w:val="32"/>
              </w:rPr>
              <w:t>仍持有之資產之損益金額分別為</w:t>
            </w:r>
            <w:r w:rsidR="00C44367" w:rsidRPr="00C769EC">
              <w:rPr>
                <w:rFonts w:hAnsi="標楷體" w:hint="eastAsia"/>
                <w:sz w:val="32"/>
                <w:szCs w:val="32"/>
              </w:rPr>
              <w:t>$</w:t>
            </w:r>
            <w:r w:rsidRPr="00C769EC">
              <w:rPr>
                <w:rFonts w:hAnsi="標楷體"/>
                <w:sz w:val="32"/>
                <w:szCs w:val="32"/>
              </w:rPr>
              <w:t>XXX及</w:t>
            </w:r>
            <w:r w:rsidR="00C44367" w:rsidRPr="00C769EC">
              <w:rPr>
                <w:rFonts w:hAnsi="標楷體" w:hint="eastAsia"/>
                <w:sz w:val="32"/>
                <w:szCs w:val="32"/>
              </w:rPr>
              <w:t>$</w:t>
            </w:r>
            <w:r w:rsidRPr="00C769EC">
              <w:rPr>
                <w:rFonts w:hAnsi="標楷體"/>
                <w:sz w:val="32"/>
                <w:szCs w:val="32"/>
              </w:rPr>
              <w:t>XXX。</w:t>
            </w:r>
          </w:p>
          <w:p w:rsidR="00DB7C1D" w:rsidRPr="00C769EC" w:rsidRDefault="00DB7C1D" w:rsidP="00C44367">
            <w:pPr>
              <w:spacing w:before="120" w:after="120"/>
              <w:ind w:leftChars="751" w:left="1802"/>
              <w:jc w:val="both"/>
              <w:outlineLvl w:val="3"/>
              <w:rPr>
                <w:rFonts w:hAnsi="標楷體" w:cs="Arial"/>
                <w:szCs w:val="24"/>
              </w:rPr>
            </w:pPr>
            <w:r w:rsidRPr="00C769EC">
              <w:rPr>
                <w:rFonts w:hAnsi="標楷體"/>
                <w:sz w:val="32"/>
                <w:szCs w:val="32"/>
              </w:rPr>
              <w:t>上述評價損益列入當期損益之金額中，歸屬於截至民國</w:t>
            </w:r>
            <w:r w:rsidRPr="00C769EC">
              <w:rPr>
                <w:rFonts w:hAnsi="標楷體" w:hint="eastAsia"/>
                <w:sz w:val="32"/>
                <w:szCs w:val="32"/>
              </w:rPr>
              <w:t>104</w:t>
            </w:r>
            <w:r w:rsidRPr="00C769EC">
              <w:rPr>
                <w:rFonts w:hAnsi="標楷體"/>
                <w:sz w:val="32"/>
                <w:szCs w:val="32"/>
              </w:rPr>
              <w:t>年及</w:t>
            </w:r>
            <w:proofErr w:type="gramStart"/>
            <w:r w:rsidRPr="00C769EC">
              <w:rPr>
                <w:rFonts w:hAnsi="標楷體" w:hint="eastAsia"/>
                <w:sz w:val="32"/>
                <w:szCs w:val="32"/>
              </w:rPr>
              <w:t>103</w:t>
            </w:r>
            <w:r w:rsidRPr="00C769EC">
              <w:rPr>
                <w:rFonts w:hAnsi="標楷體"/>
                <w:sz w:val="32"/>
                <w:szCs w:val="32"/>
              </w:rPr>
              <w:t>年12月31日止帳上</w:t>
            </w:r>
            <w:proofErr w:type="gramEnd"/>
            <w:r w:rsidRPr="00C769EC">
              <w:rPr>
                <w:rFonts w:hAnsi="標楷體"/>
                <w:sz w:val="32"/>
                <w:szCs w:val="32"/>
              </w:rPr>
              <w:t>仍持有之負債之損益金額分別為</w:t>
            </w:r>
            <w:r w:rsidRPr="00C769EC">
              <w:rPr>
                <w:rFonts w:hAnsi="標楷體" w:hint="eastAsia"/>
                <w:sz w:val="32"/>
                <w:szCs w:val="32"/>
              </w:rPr>
              <w:t>$</w:t>
            </w:r>
            <w:r w:rsidRPr="00C769EC">
              <w:rPr>
                <w:rFonts w:hAnsi="標楷體"/>
                <w:sz w:val="32"/>
                <w:szCs w:val="32"/>
              </w:rPr>
              <w:t>XXX及</w:t>
            </w:r>
            <w:r w:rsidRPr="00C769EC">
              <w:rPr>
                <w:rFonts w:hAnsi="標楷體" w:hint="eastAsia"/>
                <w:sz w:val="32"/>
                <w:szCs w:val="32"/>
              </w:rPr>
              <w:t>$</w:t>
            </w:r>
            <w:r w:rsidRPr="00C769EC">
              <w:rPr>
                <w:rFonts w:hAnsi="標楷體"/>
                <w:sz w:val="32"/>
                <w:szCs w:val="32"/>
              </w:rPr>
              <w:t>XXX。</w:t>
            </w:r>
          </w:p>
        </w:tc>
      </w:tr>
      <w:tr w:rsidR="00B5393B" w:rsidRPr="00C769EC" w:rsidTr="00A37C7D">
        <w:tc>
          <w:tcPr>
            <w:tcW w:w="1260" w:type="dxa"/>
          </w:tcPr>
          <w:p w:rsidR="00B5393B" w:rsidRPr="00C769EC" w:rsidRDefault="00B5393B" w:rsidP="007C1361">
            <w:pPr>
              <w:snapToGrid w:val="0"/>
              <w:rPr>
                <w:rFonts w:hAnsi="標楷體" w:cs="Arial"/>
                <w:sz w:val="16"/>
                <w:szCs w:val="16"/>
              </w:rPr>
            </w:pPr>
            <w:r w:rsidRPr="00C769EC">
              <w:rPr>
                <w:rFonts w:hAnsi="標楷體" w:cs="Arial"/>
                <w:sz w:val="16"/>
                <w:szCs w:val="16"/>
              </w:rPr>
              <w:t>IFRS13</w:t>
            </w:r>
            <w:r w:rsidR="007C1361" w:rsidRPr="00C769EC">
              <w:rPr>
                <w:rFonts w:hAnsi="標楷體" w:cs="Arial" w:hint="eastAsia"/>
                <w:sz w:val="16"/>
                <w:szCs w:val="16"/>
              </w:rPr>
              <w:t>.</w:t>
            </w:r>
            <w:r w:rsidRPr="00C769EC">
              <w:rPr>
                <w:rFonts w:hAnsi="標楷體" w:cs="Arial"/>
                <w:sz w:val="16"/>
                <w:szCs w:val="16"/>
              </w:rPr>
              <w:t>93(d),</w:t>
            </w:r>
            <w:r w:rsidRPr="00C769EC">
              <w:rPr>
                <w:rFonts w:hAnsi="標楷體" w:cs="Arial" w:hint="eastAsia"/>
                <w:sz w:val="16"/>
                <w:szCs w:val="16"/>
              </w:rPr>
              <w:t xml:space="preserve"> </w:t>
            </w:r>
            <w:r w:rsidRPr="00C769EC">
              <w:rPr>
                <w:rFonts w:hAnsi="標楷體" w:cs="Arial"/>
                <w:sz w:val="16"/>
                <w:szCs w:val="16"/>
              </w:rPr>
              <w:t>IFRS13</w:t>
            </w:r>
            <w:r w:rsidR="007C1361" w:rsidRPr="00C769EC">
              <w:rPr>
                <w:rFonts w:hAnsi="標楷體" w:cs="Arial" w:hint="eastAsia"/>
                <w:sz w:val="16"/>
                <w:szCs w:val="16"/>
              </w:rPr>
              <w:t>.</w:t>
            </w:r>
            <w:r w:rsidRPr="00C769EC">
              <w:rPr>
                <w:rFonts w:hAnsi="標楷體" w:cs="Arial"/>
                <w:sz w:val="16"/>
                <w:szCs w:val="16"/>
              </w:rPr>
              <w:t xml:space="preserve">93 </w:t>
            </w:r>
            <w:r w:rsidRPr="00C769EC">
              <w:rPr>
                <w:rFonts w:hAnsi="標楷體" w:cs="Arial" w:hint="eastAsia"/>
                <w:sz w:val="16"/>
                <w:szCs w:val="16"/>
              </w:rPr>
              <w:t>(</w:t>
            </w:r>
            <w:r w:rsidRPr="00C769EC">
              <w:rPr>
                <w:rFonts w:hAnsi="標楷體" w:cs="Arial"/>
                <w:sz w:val="16"/>
                <w:szCs w:val="16"/>
              </w:rPr>
              <w:t>h)(</w:t>
            </w:r>
            <w:proofErr w:type="spellStart"/>
            <w:r w:rsidRPr="00C769EC">
              <w:rPr>
                <w:rFonts w:hAnsi="標楷體" w:cs="Arial"/>
                <w:sz w:val="16"/>
                <w:szCs w:val="16"/>
              </w:rPr>
              <w:t>i</w:t>
            </w:r>
            <w:proofErr w:type="spellEnd"/>
            <w:r w:rsidRPr="00C769EC">
              <w:rPr>
                <w:rFonts w:hAnsi="標楷體" w:cs="Arial"/>
                <w:sz w:val="16"/>
                <w:szCs w:val="16"/>
              </w:rPr>
              <w:t>)</w:t>
            </w:r>
          </w:p>
        </w:tc>
        <w:tc>
          <w:tcPr>
            <w:tcW w:w="9625" w:type="dxa"/>
          </w:tcPr>
          <w:p w:rsidR="00B5393B" w:rsidRPr="00C769EC" w:rsidRDefault="00B5393B" w:rsidP="00B5393B">
            <w:pPr>
              <w:numPr>
                <w:ilvl w:val="2"/>
                <w:numId w:val="17"/>
              </w:numPr>
              <w:tabs>
                <w:tab w:val="clear" w:pos="1854"/>
              </w:tabs>
              <w:spacing w:before="120" w:after="120"/>
              <w:ind w:left="1520" w:hanging="425"/>
              <w:jc w:val="both"/>
              <w:outlineLvl w:val="3"/>
              <w:rPr>
                <w:rFonts w:hAnsi="標楷體"/>
                <w:sz w:val="32"/>
                <w:szCs w:val="32"/>
                <w:u w:val="single"/>
              </w:rPr>
            </w:pPr>
            <w:r w:rsidRPr="00C769EC">
              <w:rPr>
                <w:rFonts w:hAnsi="標楷體" w:cs="標楷體"/>
                <w:kern w:val="0"/>
                <w:sz w:val="32"/>
                <w:szCs w:val="32"/>
                <w:u w:val="single"/>
              </w:rPr>
              <w:t>重大不可觀察輸入值</w:t>
            </w:r>
            <w:r w:rsidRPr="00C769EC">
              <w:rPr>
                <w:rFonts w:hAnsi="標楷體"/>
                <w:sz w:val="32"/>
                <w:szCs w:val="32"/>
                <w:u w:val="single"/>
              </w:rPr>
              <w:t>(</w:t>
            </w:r>
            <w:r w:rsidRPr="00C769EC">
              <w:rPr>
                <w:rFonts w:hAnsi="標楷體" w:cs="標楷體"/>
                <w:kern w:val="0"/>
                <w:sz w:val="32"/>
                <w:szCs w:val="32"/>
                <w:u w:val="single"/>
              </w:rPr>
              <w:t>第</w:t>
            </w:r>
            <w:r w:rsidRPr="00C769EC">
              <w:rPr>
                <w:rFonts w:hAnsi="標楷體" w:hint="eastAsia"/>
                <w:bCs/>
                <w:kern w:val="0"/>
                <w:sz w:val="32"/>
                <w:szCs w:val="32"/>
                <w:u w:val="single"/>
              </w:rPr>
              <w:t>三等</w:t>
            </w:r>
            <w:r w:rsidRPr="00C769EC">
              <w:rPr>
                <w:rFonts w:hAnsi="標楷體" w:cs="標楷體"/>
                <w:kern w:val="0"/>
                <w:sz w:val="32"/>
                <w:szCs w:val="32"/>
                <w:u w:val="single"/>
              </w:rPr>
              <w:t>級</w:t>
            </w:r>
            <w:r w:rsidRPr="00C769EC">
              <w:rPr>
                <w:rFonts w:hAnsi="標楷體"/>
                <w:sz w:val="32"/>
                <w:szCs w:val="32"/>
                <w:u w:val="single"/>
              </w:rPr>
              <w:t>)</w:t>
            </w:r>
            <w:r w:rsidRPr="00C769EC">
              <w:rPr>
                <w:rFonts w:hAnsi="標楷體" w:cs="標楷體"/>
                <w:kern w:val="0"/>
                <w:sz w:val="32"/>
                <w:szCs w:val="32"/>
                <w:u w:val="single"/>
              </w:rPr>
              <w:t>之公允價值衡量之量化資訊</w:t>
            </w:r>
          </w:p>
        </w:tc>
      </w:tr>
      <w:tr w:rsidR="00B5393B" w:rsidRPr="00C769EC" w:rsidTr="00A37C7D">
        <w:tc>
          <w:tcPr>
            <w:tcW w:w="1260" w:type="dxa"/>
          </w:tcPr>
          <w:p w:rsidR="00B5393B" w:rsidRPr="00C769EC" w:rsidRDefault="00B5393B" w:rsidP="00D54EB6">
            <w:pPr>
              <w:snapToGrid w:val="0"/>
              <w:rPr>
                <w:rFonts w:hAnsi="標楷體" w:cs="Arial"/>
                <w:sz w:val="16"/>
                <w:szCs w:val="16"/>
              </w:rPr>
            </w:pPr>
          </w:p>
        </w:tc>
        <w:tc>
          <w:tcPr>
            <w:tcW w:w="9625" w:type="dxa"/>
          </w:tcPr>
          <w:p w:rsidR="00B5393B" w:rsidRPr="00C769EC" w:rsidRDefault="00072156" w:rsidP="00D54EB6">
            <w:pPr>
              <w:spacing w:before="120" w:after="120"/>
              <w:ind w:leftChars="633" w:left="1519"/>
              <w:jc w:val="both"/>
              <w:outlineLvl w:val="3"/>
              <w:rPr>
                <w:rFonts w:hAnsi="標楷體"/>
                <w:sz w:val="32"/>
                <w:szCs w:val="32"/>
              </w:rPr>
            </w:pPr>
            <w:r w:rsidRPr="00C769EC">
              <w:rPr>
                <w:rFonts w:hAnsi="標楷體" w:hint="eastAsia"/>
                <w:sz w:val="32"/>
                <w:szCs w:val="32"/>
              </w:rPr>
              <w:t>本集團</w:t>
            </w:r>
            <w:r w:rsidR="00B5393B" w:rsidRPr="00C769EC">
              <w:rPr>
                <w:rFonts w:hAnsi="標楷體" w:hint="eastAsia"/>
                <w:sz w:val="32"/>
                <w:szCs w:val="32"/>
              </w:rPr>
              <w:t>公允價值衡量歸類為第三等級主要有</w:t>
            </w:r>
            <w:r w:rsidR="00B5393B" w:rsidRPr="00C769EC">
              <w:rPr>
                <w:rFonts w:hAnsi="標楷體"/>
                <w:sz w:val="32"/>
                <w:szCs w:val="32"/>
              </w:rPr>
              <w:t>透過損益按公允價值衡量之金融資產</w:t>
            </w:r>
            <w:r w:rsidR="00DB7C1D" w:rsidRPr="00C769EC">
              <w:rPr>
                <w:rFonts w:hAnsi="標楷體" w:hint="eastAsia"/>
                <w:sz w:val="32"/>
                <w:szCs w:val="32"/>
              </w:rPr>
              <w:t>－</w:t>
            </w:r>
            <w:r w:rsidR="00B5393B" w:rsidRPr="00C769EC">
              <w:rPr>
                <w:rFonts w:hAnsi="標楷體" w:hint="eastAsia"/>
                <w:sz w:val="32"/>
                <w:szCs w:val="32"/>
              </w:rPr>
              <w:t>權益證券投資、衍生金融工具及備供出售金融資產</w:t>
            </w:r>
            <w:r w:rsidR="00DB7C1D" w:rsidRPr="00C769EC">
              <w:rPr>
                <w:rFonts w:hAnsi="標楷體" w:hint="eastAsia"/>
                <w:sz w:val="32"/>
                <w:szCs w:val="32"/>
              </w:rPr>
              <w:t>－</w:t>
            </w:r>
            <w:r w:rsidR="00B5393B" w:rsidRPr="00C769EC">
              <w:rPr>
                <w:rFonts w:hAnsi="標楷體" w:hint="eastAsia"/>
                <w:sz w:val="32"/>
                <w:szCs w:val="32"/>
              </w:rPr>
              <w:t>權益證券投資。</w:t>
            </w:r>
          </w:p>
          <w:p w:rsidR="00B5393B" w:rsidRPr="00C769EC" w:rsidRDefault="00072156" w:rsidP="00D54EB6">
            <w:pPr>
              <w:spacing w:before="120" w:after="120"/>
              <w:ind w:leftChars="633" w:left="1519"/>
              <w:jc w:val="both"/>
              <w:outlineLvl w:val="3"/>
              <w:rPr>
                <w:rFonts w:hAnsi="標楷體"/>
                <w:sz w:val="32"/>
                <w:szCs w:val="32"/>
              </w:rPr>
            </w:pPr>
            <w:r w:rsidRPr="00C769EC">
              <w:rPr>
                <w:rFonts w:hAnsi="標楷體" w:cs="Arial" w:hint="eastAsia"/>
                <w:sz w:val="32"/>
                <w:szCs w:val="32"/>
              </w:rPr>
              <w:t>本集團</w:t>
            </w:r>
            <w:r w:rsidR="00B5393B" w:rsidRPr="00C769EC">
              <w:rPr>
                <w:rFonts w:hAnsi="標楷體" w:cs="Arial" w:hint="eastAsia"/>
                <w:sz w:val="32"/>
                <w:szCs w:val="32"/>
              </w:rPr>
              <w:t>多數公允價值歸類為第三等級僅具單一重大不可觀察輸入值，僅無活絡市場之權益工具投資具有複數重大不可觀察輸入值。無活絡市場之權益工具投資之重大不可觀察輸入值因彼此獨立，故不存在相互關聯性。</w:t>
            </w:r>
          </w:p>
          <w:p w:rsidR="00B5393B" w:rsidRPr="00C769EC" w:rsidRDefault="00B5393B" w:rsidP="00D54EB6">
            <w:pPr>
              <w:spacing w:before="120" w:after="120"/>
              <w:ind w:leftChars="633" w:left="1519"/>
              <w:jc w:val="both"/>
              <w:outlineLvl w:val="3"/>
              <w:rPr>
                <w:rFonts w:hAnsi="標楷體" w:cs="標楷體"/>
                <w:kern w:val="0"/>
                <w:sz w:val="32"/>
                <w:szCs w:val="32"/>
                <w:u w:val="single"/>
              </w:rPr>
            </w:pPr>
            <w:r w:rsidRPr="00C769EC">
              <w:rPr>
                <w:rFonts w:hAnsi="標楷體" w:hint="eastAsia"/>
                <w:sz w:val="32"/>
                <w:szCs w:val="32"/>
              </w:rPr>
              <w:t>重大不可觀察輸入值之量化資訊列表如下：</w:t>
            </w:r>
          </w:p>
        </w:tc>
      </w:tr>
    </w:tbl>
    <w:p w:rsidR="00B5393B" w:rsidRPr="00C769EC" w:rsidRDefault="00B5393B" w:rsidP="00B5393B">
      <w:pPr>
        <w:snapToGrid w:val="0"/>
        <w:rPr>
          <w:rFonts w:hAnsi="標楷體" w:cs="Arial"/>
          <w:sz w:val="16"/>
          <w:szCs w:val="16"/>
        </w:rPr>
      </w:pPr>
    </w:p>
    <w:p w:rsidR="00B5393B" w:rsidRPr="00C769EC" w:rsidRDefault="00B5393B" w:rsidP="00B5393B">
      <w:pPr>
        <w:snapToGrid w:val="0"/>
        <w:rPr>
          <w:rFonts w:hAnsi="標楷體" w:cs="Arial"/>
          <w:sz w:val="16"/>
          <w:szCs w:val="16"/>
        </w:rPr>
      </w:pPr>
    </w:p>
    <w:tbl>
      <w:tblPr>
        <w:tblW w:w="107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559"/>
        <w:gridCol w:w="1418"/>
        <w:gridCol w:w="2126"/>
        <w:gridCol w:w="992"/>
        <w:gridCol w:w="1854"/>
      </w:tblGrid>
      <w:tr w:rsidR="00B5393B" w:rsidRPr="00C769EC" w:rsidTr="00A37C7D">
        <w:trPr>
          <w:tblHeader/>
        </w:trPr>
        <w:tc>
          <w:tcPr>
            <w:tcW w:w="2836" w:type="dxa"/>
            <w:shd w:val="clear" w:color="auto" w:fill="auto"/>
          </w:tcPr>
          <w:p w:rsidR="00B5393B" w:rsidRPr="00C769EC" w:rsidRDefault="00B5393B" w:rsidP="00C44367">
            <w:pPr>
              <w:spacing w:line="220" w:lineRule="exact"/>
              <w:jc w:val="center"/>
              <w:rPr>
                <w:rFonts w:hAnsi="標楷體"/>
                <w:sz w:val="20"/>
              </w:rPr>
            </w:pPr>
            <w:r w:rsidRPr="00C769EC">
              <w:rPr>
                <w:rFonts w:hAnsi="標楷體" w:cs="Arial"/>
                <w:sz w:val="20"/>
              </w:rPr>
              <w:t>以重複性為基礎按公允價值衡量項目</w:t>
            </w:r>
            <w:r w:rsidR="00C44367" w:rsidRPr="00C769EC">
              <w:rPr>
                <w:rStyle w:val="af8"/>
                <w:rFonts w:hAnsi="標楷體" w:cs="Arial"/>
              </w:rPr>
              <w:footnoteReference w:id="4"/>
            </w:r>
          </w:p>
        </w:tc>
        <w:tc>
          <w:tcPr>
            <w:tcW w:w="1559" w:type="dxa"/>
            <w:shd w:val="clear" w:color="auto" w:fill="auto"/>
            <w:vAlign w:val="center"/>
          </w:tcPr>
          <w:p w:rsidR="00B5393B" w:rsidRPr="00C769EC" w:rsidRDefault="00B5393B" w:rsidP="00C44367">
            <w:pPr>
              <w:spacing w:line="220" w:lineRule="exact"/>
              <w:jc w:val="center"/>
              <w:rPr>
                <w:rFonts w:hAnsi="標楷體"/>
                <w:sz w:val="20"/>
              </w:rPr>
            </w:pPr>
            <w:r w:rsidRPr="00C769EC">
              <w:rPr>
                <w:rFonts w:hAnsi="標楷體"/>
                <w:sz w:val="20"/>
              </w:rPr>
              <w:t>民國</w:t>
            </w:r>
            <w:r w:rsidR="00C44367" w:rsidRPr="00C769EC">
              <w:rPr>
                <w:rFonts w:hAnsi="標楷體" w:hint="eastAsia"/>
                <w:sz w:val="20"/>
              </w:rPr>
              <w:t>104</w:t>
            </w:r>
            <w:r w:rsidRPr="00C769EC">
              <w:rPr>
                <w:rFonts w:hAnsi="標楷體"/>
                <w:sz w:val="20"/>
              </w:rPr>
              <w:t>年12月31日之公允價值</w:t>
            </w:r>
          </w:p>
        </w:tc>
        <w:tc>
          <w:tcPr>
            <w:tcW w:w="1418" w:type="dxa"/>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sz w:val="20"/>
              </w:rPr>
              <w:t>評價技術</w:t>
            </w:r>
          </w:p>
        </w:tc>
        <w:tc>
          <w:tcPr>
            <w:tcW w:w="2126" w:type="dxa"/>
            <w:shd w:val="clear" w:color="auto" w:fill="auto"/>
            <w:vAlign w:val="center"/>
          </w:tcPr>
          <w:p w:rsidR="00B5393B" w:rsidRPr="00C769EC" w:rsidRDefault="00B5393B" w:rsidP="00D54EB6">
            <w:pPr>
              <w:spacing w:line="220" w:lineRule="exact"/>
              <w:jc w:val="center"/>
              <w:rPr>
                <w:rFonts w:hAnsi="標楷體" w:cs="標楷體"/>
                <w:kern w:val="0"/>
                <w:sz w:val="20"/>
              </w:rPr>
            </w:pPr>
            <w:r w:rsidRPr="00C769EC">
              <w:rPr>
                <w:rFonts w:hAnsi="標楷體" w:cs="標楷體" w:hint="eastAsia"/>
                <w:kern w:val="0"/>
                <w:sz w:val="20"/>
              </w:rPr>
              <w:t>重大</w:t>
            </w:r>
            <w:r w:rsidRPr="00C769EC">
              <w:rPr>
                <w:rFonts w:hAnsi="標楷體" w:cs="標楷體"/>
                <w:kern w:val="0"/>
                <w:sz w:val="20"/>
              </w:rPr>
              <w:t>不可觀察</w:t>
            </w:r>
          </w:p>
          <w:p w:rsidR="00B5393B" w:rsidRPr="00C769EC" w:rsidRDefault="00B5393B" w:rsidP="00D54EB6">
            <w:pPr>
              <w:spacing w:line="220" w:lineRule="exact"/>
              <w:jc w:val="center"/>
              <w:rPr>
                <w:rFonts w:hAnsi="標楷體"/>
                <w:sz w:val="20"/>
              </w:rPr>
            </w:pPr>
            <w:r w:rsidRPr="00C769EC">
              <w:rPr>
                <w:rFonts w:hAnsi="標楷體" w:cs="標楷體"/>
                <w:kern w:val="0"/>
                <w:sz w:val="20"/>
              </w:rPr>
              <w:t>輸入值</w:t>
            </w:r>
          </w:p>
        </w:tc>
        <w:tc>
          <w:tcPr>
            <w:tcW w:w="992" w:type="dxa"/>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cs="標楷體"/>
                <w:kern w:val="0"/>
                <w:sz w:val="20"/>
              </w:rPr>
              <w:t>區間</w:t>
            </w:r>
            <w:r w:rsidRPr="00C769EC">
              <w:rPr>
                <w:rFonts w:hAnsi="標楷體" w:hint="eastAsia"/>
                <w:kern w:val="0"/>
                <w:sz w:val="18"/>
                <w:szCs w:val="18"/>
              </w:rPr>
              <w:t>(</w:t>
            </w:r>
            <w:r w:rsidRPr="00C769EC">
              <w:rPr>
                <w:rFonts w:hAnsi="標楷體" w:cs="標楷體"/>
                <w:kern w:val="0"/>
                <w:sz w:val="20"/>
              </w:rPr>
              <w:t>加權</w:t>
            </w:r>
            <w:r w:rsidRPr="00C769EC">
              <w:rPr>
                <w:rFonts w:hAnsi="標楷體" w:cs="標楷體" w:hint="eastAsia"/>
                <w:kern w:val="0"/>
                <w:sz w:val="20"/>
              </w:rPr>
              <w:t>平均</w:t>
            </w:r>
            <w:r w:rsidRPr="00C769EC">
              <w:rPr>
                <w:rFonts w:hAnsi="標楷體" w:hint="eastAsia"/>
                <w:kern w:val="0"/>
                <w:sz w:val="18"/>
                <w:szCs w:val="18"/>
              </w:rPr>
              <w:t>)</w:t>
            </w:r>
          </w:p>
        </w:tc>
        <w:tc>
          <w:tcPr>
            <w:tcW w:w="1854" w:type="dxa"/>
            <w:shd w:val="clear" w:color="auto" w:fill="auto"/>
            <w:vAlign w:val="center"/>
          </w:tcPr>
          <w:p w:rsidR="00B5393B" w:rsidRPr="00C769EC" w:rsidRDefault="00B5393B" w:rsidP="00D54EB6">
            <w:pPr>
              <w:spacing w:line="220" w:lineRule="exact"/>
              <w:jc w:val="center"/>
              <w:rPr>
                <w:rFonts w:hAnsi="標楷體" w:cs="標楷體"/>
                <w:kern w:val="0"/>
                <w:sz w:val="20"/>
              </w:rPr>
            </w:pPr>
            <w:r w:rsidRPr="00C769EC">
              <w:rPr>
                <w:rFonts w:hAnsi="標楷體" w:cs="標楷體" w:hint="eastAsia"/>
                <w:kern w:val="0"/>
                <w:sz w:val="20"/>
              </w:rPr>
              <w:t>輸入值與公允價值關係</w:t>
            </w:r>
          </w:p>
        </w:tc>
      </w:tr>
      <w:tr w:rsidR="00B5393B" w:rsidRPr="00C769EC" w:rsidTr="00A37C7D">
        <w:tc>
          <w:tcPr>
            <w:tcW w:w="2836" w:type="dxa"/>
            <w:tcBorders>
              <w:bottom w:val="nil"/>
            </w:tcBorders>
            <w:shd w:val="clear" w:color="auto" w:fill="auto"/>
            <w:vAlign w:val="center"/>
          </w:tcPr>
          <w:p w:rsidR="00B5393B" w:rsidRPr="00C769EC" w:rsidRDefault="00B5393B" w:rsidP="00D54EB6">
            <w:pPr>
              <w:pStyle w:val="af9"/>
              <w:spacing w:after="0" w:line="220" w:lineRule="exact"/>
              <w:ind w:leftChars="-1" w:left="198" w:hangingChars="100" w:hanging="200"/>
              <w:rPr>
                <w:rFonts w:hAnsi="標楷體"/>
                <w:bCs/>
                <w:kern w:val="0"/>
                <w:sz w:val="20"/>
                <w:u w:val="single"/>
              </w:rPr>
            </w:pPr>
            <w:r w:rsidRPr="00C769EC">
              <w:rPr>
                <w:rFonts w:hAnsi="標楷體"/>
                <w:bCs/>
                <w:kern w:val="0"/>
                <w:sz w:val="20"/>
                <w:u w:val="single"/>
              </w:rPr>
              <w:t>非衍生</w:t>
            </w:r>
            <w:r w:rsidRPr="00C769EC">
              <w:rPr>
                <w:rFonts w:hAnsi="標楷體" w:hint="eastAsia"/>
                <w:bCs/>
                <w:kern w:val="0"/>
                <w:sz w:val="20"/>
                <w:u w:val="single"/>
              </w:rPr>
              <w:t>金融資產</w:t>
            </w:r>
          </w:p>
          <w:p w:rsidR="00B5393B" w:rsidRPr="00C769EC" w:rsidRDefault="00B5393B" w:rsidP="00D54EB6">
            <w:pPr>
              <w:spacing w:line="220" w:lineRule="exact"/>
              <w:ind w:leftChars="10" w:left="248" w:hangingChars="112" w:hanging="224"/>
              <w:rPr>
                <w:rFonts w:hAnsi="標楷體"/>
                <w:kern w:val="0"/>
                <w:sz w:val="20"/>
              </w:rPr>
            </w:pPr>
            <w:r w:rsidRPr="00C769EC">
              <w:rPr>
                <w:rFonts w:hAnsi="標楷體"/>
                <w:kern w:val="0"/>
                <w:sz w:val="20"/>
              </w:rPr>
              <w:t>透過損益按公允價值衡量之金融資產</w:t>
            </w:r>
          </w:p>
          <w:p w:rsidR="00B5393B" w:rsidRPr="00C769EC" w:rsidRDefault="00B5393B" w:rsidP="00D54EB6">
            <w:pPr>
              <w:spacing w:line="220" w:lineRule="exact"/>
              <w:ind w:left="460" w:rightChars="47" w:right="113" w:hangingChars="230" w:hanging="460"/>
              <w:rPr>
                <w:rFonts w:hAnsi="標楷體"/>
                <w:kern w:val="0"/>
                <w:sz w:val="20"/>
              </w:rPr>
            </w:pPr>
            <w:r w:rsidRPr="00C769EC">
              <w:rPr>
                <w:rFonts w:hAnsi="標楷體" w:hint="eastAsia"/>
                <w:kern w:val="0"/>
                <w:sz w:val="20"/>
              </w:rPr>
              <w:t xml:space="preserve">  無活絡市場之權益工具投資</w:t>
            </w:r>
          </w:p>
        </w:tc>
        <w:tc>
          <w:tcPr>
            <w:tcW w:w="1559" w:type="dxa"/>
            <w:tcBorders>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$XXX</w:t>
            </w:r>
          </w:p>
        </w:tc>
        <w:tc>
          <w:tcPr>
            <w:tcW w:w="1418" w:type="dxa"/>
            <w:tcBorders>
              <w:bottom w:val="nil"/>
            </w:tcBorders>
            <w:shd w:val="clear" w:color="auto" w:fill="auto"/>
            <w:vAlign w:val="center"/>
          </w:tcPr>
          <w:p w:rsidR="00B5393B" w:rsidRPr="00C769EC" w:rsidRDefault="00E4707C" w:rsidP="00D54EB6">
            <w:pPr>
              <w:spacing w:line="220" w:lineRule="exact"/>
              <w:jc w:val="center"/>
              <w:rPr>
                <w:rFonts w:hAnsi="標楷體"/>
                <w:sz w:val="20"/>
              </w:rPr>
            </w:pPr>
            <w:r w:rsidRPr="00C769EC">
              <w:rPr>
                <w:rFonts w:hAnsi="標楷體" w:hint="eastAsia"/>
                <w:sz w:val="20"/>
              </w:rPr>
              <w:t>可類比上市上櫃</w:t>
            </w:r>
            <w:r w:rsidR="00B5393B" w:rsidRPr="00C769EC">
              <w:rPr>
                <w:rFonts w:hAnsi="標楷體" w:hint="eastAsia"/>
                <w:sz w:val="20"/>
              </w:rPr>
              <w:t>公司法</w:t>
            </w:r>
          </w:p>
        </w:tc>
        <w:tc>
          <w:tcPr>
            <w:tcW w:w="2126" w:type="dxa"/>
            <w:tcBorders>
              <w:bottom w:val="nil"/>
            </w:tcBorders>
            <w:shd w:val="clear" w:color="auto" w:fill="auto"/>
            <w:vAlign w:val="center"/>
          </w:tcPr>
          <w:p w:rsidR="007C1361" w:rsidRPr="00C769EC" w:rsidRDefault="00E4707C" w:rsidP="00D54EB6">
            <w:pPr>
              <w:spacing w:line="220" w:lineRule="exact"/>
              <w:jc w:val="center"/>
              <w:rPr>
                <w:rFonts w:hAnsi="標楷體"/>
                <w:sz w:val="20"/>
              </w:rPr>
            </w:pPr>
            <w:r w:rsidRPr="00C769EC">
              <w:rPr>
                <w:rFonts w:hAnsi="標楷體" w:hint="eastAsia"/>
                <w:sz w:val="20"/>
              </w:rPr>
              <w:t>本益比</w:t>
            </w:r>
            <w:r w:rsidR="00B5393B" w:rsidRPr="00C769EC">
              <w:rPr>
                <w:rFonts w:hAnsi="標楷體" w:hint="eastAsia"/>
                <w:sz w:val="20"/>
              </w:rPr>
              <w:t>乘數</w:t>
            </w:r>
          </w:p>
          <w:p w:rsidR="00B5393B" w:rsidRPr="00C769EC" w:rsidRDefault="00B5393B" w:rsidP="00D54EB6">
            <w:pPr>
              <w:spacing w:line="220" w:lineRule="exact"/>
              <w:jc w:val="center"/>
              <w:rPr>
                <w:rFonts w:hAnsi="標楷體"/>
                <w:sz w:val="20"/>
              </w:rPr>
            </w:pPr>
            <w:r w:rsidRPr="00C769EC">
              <w:rPr>
                <w:rFonts w:hAnsi="標楷體" w:hint="eastAsia"/>
                <w:sz w:val="20"/>
              </w:rPr>
              <w:t>缺乏</w:t>
            </w:r>
            <w:r w:rsidR="00E4707C" w:rsidRPr="00C769EC">
              <w:rPr>
                <w:rFonts w:hAnsi="標楷體" w:hint="eastAsia"/>
                <w:sz w:val="20"/>
              </w:rPr>
              <w:t>市場</w:t>
            </w:r>
            <w:r w:rsidRPr="00C769EC">
              <w:rPr>
                <w:rFonts w:hAnsi="標楷體" w:hint="eastAsia"/>
                <w:sz w:val="20"/>
              </w:rPr>
              <w:t>流通性折價</w:t>
            </w:r>
          </w:p>
          <w:p w:rsidR="00B5393B" w:rsidRPr="00C769EC" w:rsidRDefault="00B5393B" w:rsidP="007C1361">
            <w:pPr>
              <w:spacing w:line="220" w:lineRule="exact"/>
              <w:jc w:val="center"/>
              <w:rPr>
                <w:rFonts w:hAnsi="標楷體"/>
                <w:sz w:val="20"/>
              </w:rPr>
            </w:pPr>
            <w:r w:rsidRPr="00C769EC">
              <w:rPr>
                <w:rFonts w:hAnsi="標楷體" w:hint="eastAsia"/>
                <w:sz w:val="20"/>
              </w:rPr>
              <w:t>控制權溢價</w:t>
            </w:r>
          </w:p>
        </w:tc>
        <w:tc>
          <w:tcPr>
            <w:tcW w:w="992" w:type="dxa"/>
            <w:tcBorders>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 XX%</w:t>
            </w:r>
          </w:p>
        </w:tc>
        <w:tc>
          <w:tcPr>
            <w:tcW w:w="1854" w:type="dxa"/>
            <w:tcBorders>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乘數及控制權溢價愈高，公允價值愈高；</w:t>
            </w:r>
          </w:p>
          <w:p w:rsidR="00B5393B" w:rsidRPr="00C769EC" w:rsidRDefault="00B5393B" w:rsidP="00D54EB6">
            <w:pPr>
              <w:spacing w:line="220" w:lineRule="exact"/>
              <w:jc w:val="center"/>
              <w:rPr>
                <w:rFonts w:hAnsi="標楷體"/>
                <w:sz w:val="20"/>
              </w:rPr>
            </w:pPr>
          </w:p>
          <w:p w:rsidR="00B5393B" w:rsidRPr="00C769EC" w:rsidRDefault="00B5393B" w:rsidP="00D54EB6">
            <w:pPr>
              <w:spacing w:line="220" w:lineRule="exact"/>
              <w:jc w:val="center"/>
              <w:rPr>
                <w:rFonts w:hAnsi="標楷體"/>
                <w:sz w:val="20"/>
              </w:rPr>
            </w:pPr>
            <w:r w:rsidRPr="00C769EC">
              <w:rPr>
                <w:rFonts w:hAnsi="標楷體" w:hint="eastAsia"/>
                <w:sz w:val="20"/>
              </w:rPr>
              <w:t>缺乏</w:t>
            </w:r>
            <w:r w:rsidR="00E4707C" w:rsidRPr="00C769EC">
              <w:rPr>
                <w:rFonts w:hAnsi="標楷體" w:hint="eastAsia"/>
                <w:sz w:val="20"/>
              </w:rPr>
              <w:t>市場</w:t>
            </w:r>
            <w:r w:rsidRPr="00C769EC">
              <w:rPr>
                <w:rFonts w:hAnsi="標楷體" w:hint="eastAsia"/>
                <w:sz w:val="20"/>
              </w:rPr>
              <w:t>流通性折價愈高，公允價值愈低</w:t>
            </w:r>
          </w:p>
          <w:p w:rsidR="00B5393B" w:rsidRPr="00C769EC" w:rsidRDefault="00B5393B" w:rsidP="00D54EB6">
            <w:pPr>
              <w:spacing w:line="220" w:lineRule="exact"/>
              <w:jc w:val="center"/>
              <w:rPr>
                <w:rFonts w:hAnsi="標楷體"/>
                <w:sz w:val="20"/>
              </w:rPr>
            </w:pPr>
          </w:p>
        </w:tc>
      </w:tr>
      <w:tr w:rsidR="00B5393B" w:rsidRPr="00C769EC" w:rsidTr="00A37C7D">
        <w:tc>
          <w:tcPr>
            <w:tcW w:w="2836" w:type="dxa"/>
            <w:tcBorders>
              <w:top w:val="nil"/>
              <w:bottom w:val="nil"/>
            </w:tcBorders>
            <w:shd w:val="clear" w:color="auto" w:fill="auto"/>
            <w:vAlign w:val="center"/>
          </w:tcPr>
          <w:p w:rsidR="00B5393B" w:rsidRPr="00C769EC" w:rsidRDefault="00B5393B" w:rsidP="00D54EB6">
            <w:pPr>
              <w:spacing w:line="220" w:lineRule="exact"/>
              <w:ind w:left="200" w:rightChars="47" w:right="113" w:hangingChars="100" w:hanging="200"/>
              <w:rPr>
                <w:rFonts w:hAnsi="標楷體"/>
                <w:kern w:val="0"/>
                <w:sz w:val="20"/>
              </w:rPr>
            </w:pPr>
          </w:p>
          <w:p w:rsidR="00B5393B" w:rsidRPr="00C769EC" w:rsidRDefault="00B5393B" w:rsidP="00D54EB6">
            <w:pPr>
              <w:spacing w:line="220" w:lineRule="exact"/>
              <w:ind w:left="200" w:rightChars="47" w:right="113" w:hangingChars="100" w:hanging="200"/>
              <w:rPr>
                <w:rFonts w:hAnsi="標楷體"/>
                <w:kern w:val="0"/>
                <w:sz w:val="20"/>
              </w:rPr>
            </w:pPr>
            <w:r w:rsidRPr="00C769EC">
              <w:rPr>
                <w:rFonts w:hAnsi="標楷體"/>
                <w:kern w:val="0"/>
                <w:sz w:val="20"/>
              </w:rPr>
              <w:t>備供出售金融資產</w:t>
            </w:r>
          </w:p>
          <w:p w:rsidR="00B5393B" w:rsidRPr="00C769EC" w:rsidRDefault="00B5393B" w:rsidP="00D54EB6">
            <w:pPr>
              <w:spacing w:line="220" w:lineRule="exact"/>
              <w:ind w:left="200" w:rightChars="47" w:right="113" w:hangingChars="100" w:hanging="200"/>
              <w:rPr>
                <w:rFonts w:hAnsi="標楷體"/>
                <w:kern w:val="0"/>
                <w:sz w:val="20"/>
              </w:rPr>
            </w:pPr>
            <w:r w:rsidRPr="00C769EC">
              <w:rPr>
                <w:rFonts w:hAnsi="標楷體" w:hint="eastAsia"/>
                <w:kern w:val="0"/>
                <w:sz w:val="20"/>
              </w:rPr>
              <w:t xml:space="preserve">  無活絡市場之權益工具投資</w:t>
            </w:r>
          </w:p>
          <w:p w:rsidR="00B5393B" w:rsidRPr="00C769EC" w:rsidRDefault="00B5393B" w:rsidP="00D54EB6">
            <w:pPr>
              <w:spacing w:line="220" w:lineRule="exact"/>
              <w:ind w:left="200" w:rightChars="47" w:right="113" w:hangingChars="100" w:hanging="200"/>
              <w:rPr>
                <w:rFonts w:hAnsi="標楷體"/>
                <w:kern w:val="0"/>
                <w:sz w:val="20"/>
              </w:rPr>
            </w:pPr>
          </w:p>
        </w:tc>
        <w:tc>
          <w:tcPr>
            <w:tcW w:w="1559"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$XXX</w:t>
            </w:r>
          </w:p>
        </w:tc>
        <w:tc>
          <w:tcPr>
            <w:tcW w:w="1418"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現金流量</w:t>
            </w:r>
            <w:proofErr w:type="gramStart"/>
            <w:r w:rsidRPr="00C769EC">
              <w:rPr>
                <w:rFonts w:hAnsi="標楷體" w:hint="eastAsia"/>
                <w:sz w:val="20"/>
              </w:rPr>
              <w:t>折現法</w:t>
            </w:r>
            <w:proofErr w:type="gramEnd"/>
          </w:p>
        </w:tc>
        <w:tc>
          <w:tcPr>
            <w:tcW w:w="2126" w:type="dxa"/>
            <w:tcBorders>
              <w:top w:val="nil"/>
              <w:bottom w:val="nil"/>
            </w:tcBorders>
            <w:shd w:val="clear" w:color="auto" w:fill="auto"/>
            <w:vAlign w:val="center"/>
          </w:tcPr>
          <w:p w:rsidR="00051B0B" w:rsidRPr="00106B5C" w:rsidRDefault="00051B0B" w:rsidP="00D54EB6">
            <w:pPr>
              <w:spacing w:line="220" w:lineRule="exact"/>
              <w:jc w:val="center"/>
              <w:rPr>
                <w:rFonts w:hAnsi="標楷體"/>
                <w:sz w:val="20"/>
              </w:rPr>
            </w:pPr>
            <w:r w:rsidRPr="00106B5C">
              <w:rPr>
                <w:rFonts w:hAnsi="標楷體" w:hint="eastAsia"/>
                <w:sz w:val="20"/>
              </w:rPr>
              <w:t>長期營收成長率</w:t>
            </w:r>
          </w:p>
          <w:p w:rsidR="00B5393B" w:rsidRPr="00106B5C" w:rsidRDefault="00B5393B" w:rsidP="00D54EB6">
            <w:pPr>
              <w:spacing w:line="220" w:lineRule="exact"/>
              <w:jc w:val="center"/>
              <w:rPr>
                <w:rFonts w:hAnsi="標楷體"/>
                <w:sz w:val="20"/>
              </w:rPr>
            </w:pPr>
            <w:r w:rsidRPr="00106B5C">
              <w:rPr>
                <w:rFonts w:hAnsi="標楷體" w:hint="eastAsia"/>
                <w:sz w:val="20"/>
              </w:rPr>
              <w:t>加權平均資金成本</w:t>
            </w:r>
          </w:p>
          <w:p w:rsidR="00B5393B" w:rsidRPr="00106B5C" w:rsidRDefault="00B5393B" w:rsidP="00D54EB6">
            <w:pPr>
              <w:spacing w:line="220" w:lineRule="exact"/>
              <w:jc w:val="center"/>
              <w:rPr>
                <w:rFonts w:hAnsi="標楷體"/>
                <w:sz w:val="20"/>
              </w:rPr>
            </w:pPr>
            <w:r w:rsidRPr="00106B5C">
              <w:rPr>
                <w:rFonts w:hAnsi="標楷體" w:hint="eastAsia"/>
                <w:sz w:val="20"/>
              </w:rPr>
              <w:t>長期稅前營業淨利</w:t>
            </w:r>
          </w:p>
          <w:p w:rsidR="00B5393B" w:rsidRPr="00106B5C" w:rsidRDefault="00B5393B" w:rsidP="00D54EB6">
            <w:pPr>
              <w:spacing w:line="220" w:lineRule="exact"/>
              <w:jc w:val="center"/>
              <w:rPr>
                <w:rFonts w:hAnsi="標楷體"/>
                <w:sz w:val="20"/>
              </w:rPr>
            </w:pPr>
            <w:r w:rsidRPr="00106B5C">
              <w:rPr>
                <w:rFonts w:hAnsi="標楷體" w:hint="eastAsia"/>
                <w:sz w:val="20"/>
              </w:rPr>
              <w:t>缺乏</w:t>
            </w:r>
            <w:r w:rsidR="00E4707C" w:rsidRPr="00106B5C">
              <w:rPr>
                <w:rFonts w:hAnsi="標楷體" w:hint="eastAsia"/>
                <w:sz w:val="20"/>
              </w:rPr>
              <w:t>市場</w:t>
            </w:r>
            <w:r w:rsidRPr="00106B5C">
              <w:rPr>
                <w:rFonts w:hAnsi="標楷體" w:hint="eastAsia"/>
                <w:sz w:val="20"/>
              </w:rPr>
              <w:t>流通性折價</w:t>
            </w:r>
          </w:p>
          <w:p w:rsidR="00B5393B" w:rsidRPr="00106B5C" w:rsidRDefault="00320172" w:rsidP="007C1361">
            <w:pPr>
              <w:spacing w:line="220" w:lineRule="exact"/>
              <w:jc w:val="center"/>
              <w:rPr>
                <w:rFonts w:hAnsi="標楷體"/>
                <w:sz w:val="20"/>
              </w:rPr>
            </w:pPr>
            <w:r w:rsidRPr="00106B5C">
              <w:rPr>
                <w:rFonts w:ascii="Georgia" w:hAnsi="Georgia" w:hint="eastAsia"/>
                <w:sz w:val="20"/>
              </w:rPr>
              <w:t>少數股權折價</w:t>
            </w:r>
          </w:p>
        </w:tc>
        <w:tc>
          <w:tcPr>
            <w:tcW w:w="992" w:type="dxa"/>
            <w:tcBorders>
              <w:top w:val="nil"/>
              <w:bottom w:val="nil"/>
            </w:tcBorders>
            <w:shd w:val="clear" w:color="auto" w:fill="auto"/>
            <w:vAlign w:val="center"/>
          </w:tcPr>
          <w:p w:rsidR="00B5393B" w:rsidRPr="00106B5C" w:rsidRDefault="00B5393B" w:rsidP="00D54EB6">
            <w:pPr>
              <w:spacing w:line="220" w:lineRule="exact"/>
              <w:jc w:val="center"/>
              <w:rPr>
                <w:rFonts w:hAnsi="標楷體"/>
                <w:sz w:val="20"/>
              </w:rPr>
            </w:pPr>
            <w:r w:rsidRPr="00106B5C">
              <w:rPr>
                <w:rFonts w:hAnsi="標楷體" w:hint="eastAsia"/>
                <w:sz w:val="20"/>
              </w:rPr>
              <w:t>XX%~ XX%</w:t>
            </w:r>
          </w:p>
        </w:tc>
        <w:tc>
          <w:tcPr>
            <w:tcW w:w="1854" w:type="dxa"/>
            <w:tcBorders>
              <w:top w:val="nil"/>
              <w:bottom w:val="nil"/>
            </w:tcBorders>
            <w:shd w:val="clear" w:color="auto" w:fill="auto"/>
            <w:vAlign w:val="center"/>
          </w:tcPr>
          <w:p w:rsidR="00B5393B" w:rsidRPr="00106B5C" w:rsidRDefault="00B5393B" w:rsidP="00D54EB6">
            <w:pPr>
              <w:spacing w:line="220" w:lineRule="exact"/>
              <w:jc w:val="center"/>
              <w:rPr>
                <w:rFonts w:hAnsi="標楷體"/>
                <w:sz w:val="20"/>
              </w:rPr>
            </w:pPr>
            <w:r w:rsidRPr="00106B5C">
              <w:rPr>
                <w:rFonts w:hAnsi="標楷體" w:hint="eastAsia"/>
                <w:sz w:val="20"/>
              </w:rPr>
              <w:t>加權平均資金成本</w:t>
            </w:r>
            <w:r w:rsidR="00320172" w:rsidRPr="00106B5C">
              <w:rPr>
                <w:rFonts w:ascii="Georgia" w:hAnsi="Georgia" w:hint="eastAsia"/>
                <w:sz w:val="20"/>
              </w:rPr>
              <w:t>、少數股權折價</w:t>
            </w:r>
            <w:r w:rsidRPr="00106B5C">
              <w:rPr>
                <w:rFonts w:hAnsi="標楷體" w:hint="eastAsia"/>
                <w:sz w:val="20"/>
              </w:rPr>
              <w:t>及缺乏流通性折價愈高，公允價值愈低；</w:t>
            </w:r>
          </w:p>
          <w:p w:rsidR="00B5393B" w:rsidRPr="00106B5C" w:rsidRDefault="00B5393B" w:rsidP="00D54EB6">
            <w:pPr>
              <w:spacing w:line="220" w:lineRule="exact"/>
              <w:jc w:val="center"/>
              <w:rPr>
                <w:rFonts w:hAnsi="標楷體"/>
                <w:sz w:val="20"/>
              </w:rPr>
            </w:pPr>
          </w:p>
          <w:p w:rsidR="00051B0B" w:rsidRPr="00106B5C" w:rsidRDefault="00051B0B" w:rsidP="00051B0B">
            <w:pPr>
              <w:spacing w:line="220" w:lineRule="exact"/>
              <w:jc w:val="center"/>
              <w:rPr>
                <w:rFonts w:hAnsi="標楷體"/>
                <w:sz w:val="20"/>
              </w:rPr>
            </w:pPr>
            <w:r w:rsidRPr="00106B5C">
              <w:rPr>
                <w:rFonts w:hAnsi="標楷體" w:hint="eastAsia"/>
                <w:sz w:val="20"/>
              </w:rPr>
              <w:lastRenderedPageBreak/>
              <w:t>長期營收成長率</w:t>
            </w:r>
          </w:p>
          <w:p w:rsidR="00B5393B" w:rsidRPr="00106B5C" w:rsidRDefault="00320172" w:rsidP="00D54EB6">
            <w:pPr>
              <w:spacing w:line="220" w:lineRule="exact"/>
              <w:jc w:val="center"/>
              <w:rPr>
                <w:rFonts w:hAnsi="標楷體"/>
                <w:sz w:val="20"/>
              </w:rPr>
            </w:pPr>
            <w:r w:rsidRPr="00106B5C">
              <w:rPr>
                <w:rFonts w:hAnsi="標楷體" w:hint="eastAsia"/>
                <w:sz w:val="20"/>
              </w:rPr>
              <w:t>及</w:t>
            </w:r>
            <w:r w:rsidR="00B5393B" w:rsidRPr="00106B5C">
              <w:rPr>
                <w:rFonts w:hAnsi="標楷體" w:hint="eastAsia"/>
                <w:sz w:val="20"/>
              </w:rPr>
              <w:t>長期稅前營業淨利愈高，公允價值愈高</w:t>
            </w:r>
          </w:p>
          <w:p w:rsidR="00B5393B" w:rsidRPr="00106B5C" w:rsidRDefault="00B5393B" w:rsidP="00D54EB6">
            <w:pPr>
              <w:spacing w:line="220" w:lineRule="exact"/>
              <w:jc w:val="center"/>
              <w:rPr>
                <w:rFonts w:hAnsi="標楷體"/>
                <w:sz w:val="20"/>
              </w:rPr>
            </w:pPr>
          </w:p>
        </w:tc>
      </w:tr>
      <w:tr w:rsidR="00B5393B" w:rsidRPr="00C769EC" w:rsidTr="00A37C7D">
        <w:tc>
          <w:tcPr>
            <w:tcW w:w="2836" w:type="dxa"/>
            <w:tcBorders>
              <w:top w:val="nil"/>
              <w:bottom w:val="nil"/>
            </w:tcBorders>
            <w:shd w:val="clear" w:color="auto" w:fill="auto"/>
            <w:vAlign w:val="center"/>
          </w:tcPr>
          <w:p w:rsidR="00B5393B" w:rsidRPr="00C769EC" w:rsidRDefault="00B5393B" w:rsidP="00D54EB6">
            <w:pPr>
              <w:spacing w:line="220" w:lineRule="exact"/>
              <w:ind w:left="200" w:rightChars="47" w:right="113" w:hangingChars="100" w:hanging="200"/>
              <w:rPr>
                <w:rFonts w:hAnsi="標楷體"/>
                <w:kern w:val="0"/>
                <w:sz w:val="20"/>
              </w:rPr>
            </w:pPr>
            <w:r w:rsidRPr="00C769EC">
              <w:rPr>
                <w:rFonts w:hAnsi="標楷體" w:hint="eastAsia"/>
                <w:kern w:val="0"/>
                <w:sz w:val="20"/>
              </w:rPr>
              <w:lastRenderedPageBreak/>
              <w:t xml:space="preserve">  </w:t>
            </w:r>
          </w:p>
          <w:p w:rsidR="00B5393B" w:rsidRPr="00C769EC" w:rsidRDefault="00B5393B" w:rsidP="00D54EB6">
            <w:pPr>
              <w:spacing w:line="220" w:lineRule="exact"/>
              <w:ind w:left="200" w:rightChars="47" w:right="113" w:hangingChars="100" w:hanging="200"/>
              <w:rPr>
                <w:rFonts w:hAnsi="標楷體"/>
                <w:kern w:val="0"/>
                <w:sz w:val="20"/>
              </w:rPr>
            </w:pPr>
            <w:r w:rsidRPr="00C769EC">
              <w:rPr>
                <w:rFonts w:hAnsi="標楷體" w:hint="eastAsia"/>
                <w:kern w:val="0"/>
                <w:sz w:val="20"/>
              </w:rPr>
              <w:t xml:space="preserve">  私募基金投資</w:t>
            </w:r>
          </w:p>
          <w:p w:rsidR="00B5393B" w:rsidRPr="00C769EC" w:rsidRDefault="00B5393B" w:rsidP="00D54EB6">
            <w:pPr>
              <w:spacing w:line="220" w:lineRule="exact"/>
              <w:ind w:left="200" w:rightChars="47" w:right="113" w:hangingChars="100" w:hanging="200"/>
              <w:rPr>
                <w:rFonts w:hAnsi="標楷體"/>
                <w:kern w:val="0"/>
                <w:sz w:val="20"/>
              </w:rPr>
            </w:pPr>
            <w:r w:rsidRPr="00C769EC">
              <w:rPr>
                <w:rFonts w:hAnsi="標楷體" w:hint="eastAsia"/>
                <w:kern w:val="0"/>
                <w:sz w:val="20"/>
              </w:rPr>
              <w:t xml:space="preserve">  </w:t>
            </w:r>
          </w:p>
        </w:tc>
        <w:tc>
          <w:tcPr>
            <w:tcW w:w="1559"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$XXX</w:t>
            </w:r>
          </w:p>
        </w:tc>
        <w:tc>
          <w:tcPr>
            <w:tcW w:w="1418"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vertAlign w:val="superscript"/>
              </w:rPr>
            </w:pPr>
            <w:r w:rsidRPr="00C769EC">
              <w:rPr>
                <w:rFonts w:hAnsi="標楷體" w:hint="eastAsia"/>
                <w:sz w:val="20"/>
              </w:rPr>
              <w:t>淨資產價值法</w:t>
            </w:r>
          </w:p>
        </w:tc>
        <w:tc>
          <w:tcPr>
            <w:tcW w:w="2126" w:type="dxa"/>
            <w:tcBorders>
              <w:top w:val="nil"/>
              <w:bottom w:val="nil"/>
            </w:tcBorders>
            <w:shd w:val="clear" w:color="auto" w:fill="auto"/>
            <w:vAlign w:val="center"/>
          </w:tcPr>
          <w:p w:rsidR="00B5393B" w:rsidRPr="00C769EC" w:rsidRDefault="00B5393B" w:rsidP="007C1361">
            <w:pPr>
              <w:spacing w:line="220" w:lineRule="exact"/>
              <w:jc w:val="center"/>
              <w:rPr>
                <w:rFonts w:hAnsi="標楷體"/>
                <w:sz w:val="20"/>
              </w:rPr>
            </w:pPr>
            <w:r w:rsidRPr="00C769EC">
              <w:rPr>
                <w:rFonts w:hAnsi="標楷體" w:hint="eastAsia"/>
                <w:sz w:val="20"/>
              </w:rPr>
              <w:t>淨資產價值</w:t>
            </w:r>
          </w:p>
        </w:tc>
        <w:tc>
          <w:tcPr>
            <w:tcW w:w="992"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不適用</w:t>
            </w:r>
          </w:p>
        </w:tc>
        <w:tc>
          <w:tcPr>
            <w:tcW w:w="1854" w:type="dxa"/>
            <w:tcBorders>
              <w:top w:val="nil"/>
              <w:bottom w:val="nil"/>
            </w:tcBorders>
            <w:shd w:val="clear" w:color="auto" w:fill="auto"/>
            <w:vAlign w:val="center"/>
          </w:tcPr>
          <w:p w:rsidR="00B5393B" w:rsidRPr="00C769EC" w:rsidRDefault="00B5393B" w:rsidP="00D54EB6">
            <w:pPr>
              <w:spacing w:line="220" w:lineRule="exact"/>
              <w:rPr>
                <w:rFonts w:hAnsi="標楷體"/>
                <w:sz w:val="20"/>
              </w:rPr>
            </w:pPr>
            <w:r w:rsidRPr="00C769EC">
              <w:rPr>
                <w:rFonts w:hAnsi="標楷體" w:hint="eastAsia"/>
                <w:sz w:val="20"/>
              </w:rPr>
              <w:t>淨資產價值愈高，公允價值愈高</w:t>
            </w:r>
          </w:p>
        </w:tc>
      </w:tr>
      <w:tr w:rsidR="00B5393B" w:rsidRPr="00C769EC" w:rsidTr="00A37C7D">
        <w:tc>
          <w:tcPr>
            <w:tcW w:w="2836" w:type="dxa"/>
            <w:tcBorders>
              <w:top w:val="nil"/>
              <w:bottom w:val="nil"/>
            </w:tcBorders>
            <w:shd w:val="clear" w:color="auto" w:fill="auto"/>
            <w:vAlign w:val="center"/>
          </w:tcPr>
          <w:p w:rsidR="00B5393B" w:rsidRPr="00C769EC" w:rsidRDefault="00037814" w:rsidP="00D54EB6">
            <w:pPr>
              <w:spacing w:line="220" w:lineRule="exact"/>
              <w:rPr>
                <w:rFonts w:hAnsi="標楷體"/>
                <w:bCs/>
                <w:kern w:val="0"/>
                <w:sz w:val="20"/>
                <w:u w:val="single"/>
              </w:rPr>
            </w:pPr>
            <w:r w:rsidRPr="00C769EC">
              <w:rPr>
                <w:rFonts w:hAnsi="標楷體" w:hint="eastAsia"/>
                <w:bCs/>
                <w:kern w:val="0"/>
                <w:sz w:val="20"/>
                <w:u w:val="single"/>
              </w:rPr>
              <w:t>衍生金融資產</w:t>
            </w:r>
          </w:p>
          <w:p w:rsidR="00B5393B" w:rsidRPr="00C769EC" w:rsidRDefault="00037814" w:rsidP="00D54EB6">
            <w:pPr>
              <w:spacing w:line="220" w:lineRule="exact"/>
              <w:ind w:leftChars="10" w:left="248" w:hangingChars="112" w:hanging="224"/>
              <w:rPr>
                <w:rFonts w:hAnsi="標楷體"/>
                <w:kern w:val="0"/>
                <w:sz w:val="20"/>
              </w:rPr>
            </w:pPr>
            <w:r w:rsidRPr="00C769EC">
              <w:rPr>
                <w:rFonts w:hAnsi="標楷體" w:hint="eastAsia"/>
                <w:kern w:val="0"/>
                <w:sz w:val="20"/>
              </w:rPr>
              <w:t>透過損益按公允價值衡量之金融資產</w:t>
            </w:r>
          </w:p>
          <w:p w:rsidR="00B5393B" w:rsidRPr="00C769EC" w:rsidRDefault="00037814" w:rsidP="00D54EB6">
            <w:pPr>
              <w:spacing w:line="220" w:lineRule="exact"/>
              <w:ind w:leftChars="10" w:left="248" w:hangingChars="112" w:hanging="224"/>
              <w:jc w:val="center"/>
              <w:rPr>
                <w:rFonts w:hAnsi="標楷體"/>
                <w:kern w:val="0"/>
                <w:sz w:val="20"/>
              </w:rPr>
            </w:pPr>
            <w:r w:rsidRPr="00C769EC">
              <w:rPr>
                <w:rFonts w:hAnsi="標楷體" w:hint="eastAsia"/>
                <w:kern w:val="0"/>
                <w:sz w:val="20"/>
              </w:rPr>
              <w:t>衍生金融資產</w:t>
            </w:r>
            <w:r w:rsidRPr="00C769EC">
              <w:rPr>
                <w:rFonts w:hAnsi="標楷體"/>
                <w:kern w:val="0"/>
                <w:sz w:val="20"/>
              </w:rPr>
              <w:t>-</w:t>
            </w:r>
          </w:p>
          <w:p w:rsidR="00B5393B" w:rsidRPr="00C769EC" w:rsidRDefault="00037814" w:rsidP="00D54EB6">
            <w:pPr>
              <w:spacing w:line="220" w:lineRule="exact"/>
              <w:ind w:leftChars="10" w:left="248" w:hangingChars="112" w:hanging="224"/>
              <w:jc w:val="center"/>
              <w:rPr>
                <w:rFonts w:hAnsi="標楷體"/>
                <w:sz w:val="20"/>
                <w:highlight w:val="yellow"/>
              </w:rPr>
            </w:pPr>
            <w:r w:rsidRPr="00C769EC">
              <w:rPr>
                <w:rFonts w:hAnsi="標楷體"/>
                <w:kern w:val="0"/>
                <w:sz w:val="20"/>
              </w:rPr>
              <w:t xml:space="preserve"> </w:t>
            </w:r>
            <w:r w:rsidRPr="00C769EC">
              <w:rPr>
                <w:rFonts w:hAnsi="標楷體" w:hint="eastAsia"/>
                <w:kern w:val="0"/>
                <w:sz w:val="20"/>
              </w:rPr>
              <w:t>股票選擇權</w:t>
            </w:r>
          </w:p>
        </w:tc>
        <w:tc>
          <w:tcPr>
            <w:tcW w:w="1559"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$XXX</w:t>
            </w:r>
          </w:p>
        </w:tc>
        <w:tc>
          <w:tcPr>
            <w:tcW w:w="1418"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選擇權訂價模型</w:t>
            </w:r>
          </w:p>
        </w:tc>
        <w:tc>
          <w:tcPr>
            <w:tcW w:w="2126" w:type="dxa"/>
            <w:tcBorders>
              <w:top w:val="nil"/>
              <w:bottom w:val="nil"/>
            </w:tcBorders>
            <w:shd w:val="clear" w:color="auto" w:fill="auto"/>
            <w:vAlign w:val="center"/>
          </w:tcPr>
          <w:p w:rsidR="00B5393B" w:rsidRPr="00C769EC" w:rsidRDefault="00B5393B" w:rsidP="007C1361">
            <w:pPr>
              <w:spacing w:line="220" w:lineRule="exact"/>
              <w:jc w:val="center"/>
              <w:rPr>
                <w:rFonts w:hAnsi="標楷體"/>
                <w:sz w:val="20"/>
              </w:rPr>
            </w:pPr>
            <w:r w:rsidRPr="00C769EC">
              <w:rPr>
                <w:rFonts w:hAnsi="標楷體" w:hint="eastAsia"/>
                <w:sz w:val="20"/>
              </w:rPr>
              <w:t>波動率</w:t>
            </w:r>
          </w:p>
        </w:tc>
        <w:tc>
          <w:tcPr>
            <w:tcW w:w="992"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 XX%</w:t>
            </w:r>
          </w:p>
        </w:tc>
        <w:tc>
          <w:tcPr>
            <w:tcW w:w="1854"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波動率愈高，公允價值愈高</w:t>
            </w:r>
          </w:p>
        </w:tc>
      </w:tr>
      <w:tr w:rsidR="00B5393B" w:rsidRPr="00C769EC" w:rsidTr="00A37C7D">
        <w:tc>
          <w:tcPr>
            <w:tcW w:w="2836" w:type="dxa"/>
            <w:tcBorders>
              <w:top w:val="nil"/>
              <w:bottom w:val="nil"/>
            </w:tcBorders>
            <w:shd w:val="clear" w:color="auto" w:fill="auto"/>
            <w:vAlign w:val="center"/>
          </w:tcPr>
          <w:p w:rsidR="00B5393B" w:rsidRPr="00C769EC" w:rsidRDefault="00037814" w:rsidP="00AE6C3E">
            <w:pPr>
              <w:spacing w:line="220" w:lineRule="exact"/>
              <w:rPr>
                <w:rFonts w:hAnsi="標楷體"/>
                <w:bCs/>
                <w:kern w:val="0"/>
                <w:sz w:val="20"/>
                <w:highlight w:val="yellow"/>
                <w:u w:val="single"/>
              </w:rPr>
            </w:pPr>
            <w:r w:rsidRPr="00C769EC">
              <w:rPr>
                <w:rFonts w:hAnsi="標楷體"/>
                <w:kern w:val="0"/>
                <w:sz w:val="20"/>
              </w:rPr>
              <w:t xml:space="preserve">   </w:t>
            </w:r>
            <w:r w:rsidRPr="00C769EC">
              <w:rPr>
                <w:rFonts w:hAnsi="標楷體" w:hint="eastAsia"/>
                <w:kern w:val="0"/>
                <w:sz w:val="20"/>
              </w:rPr>
              <w:t>信用合約</w:t>
            </w:r>
          </w:p>
        </w:tc>
        <w:tc>
          <w:tcPr>
            <w:tcW w:w="1559"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$XXX</w:t>
            </w:r>
          </w:p>
        </w:tc>
        <w:tc>
          <w:tcPr>
            <w:tcW w:w="1418"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選擇權訂價模型</w:t>
            </w:r>
            <w:r w:rsidR="005816D8" w:rsidRPr="00C769EC">
              <w:rPr>
                <w:rFonts w:hAnsi="標楷體"/>
                <w:sz w:val="20"/>
              </w:rPr>
              <w:t>/</w:t>
            </w:r>
            <w:r w:rsidR="005816D8" w:rsidRPr="00C769EC">
              <w:rPr>
                <w:rFonts w:hAnsi="標楷體" w:hint="eastAsia"/>
                <w:sz w:val="20"/>
              </w:rPr>
              <w:t>現金流量</w:t>
            </w:r>
            <w:proofErr w:type="gramStart"/>
            <w:r w:rsidR="005816D8" w:rsidRPr="00C769EC">
              <w:rPr>
                <w:rFonts w:hAnsi="標楷體" w:hint="eastAsia"/>
                <w:sz w:val="20"/>
              </w:rPr>
              <w:t>折現法</w:t>
            </w:r>
            <w:proofErr w:type="gramEnd"/>
          </w:p>
        </w:tc>
        <w:tc>
          <w:tcPr>
            <w:tcW w:w="2126" w:type="dxa"/>
            <w:tcBorders>
              <w:top w:val="nil"/>
              <w:bottom w:val="nil"/>
            </w:tcBorders>
            <w:shd w:val="clear" w:color="auto" w:fill="auto"/>
            <w:vAlign w:val="center"/>
          </w:tcPr>
          <w:p w:rsidR="00B5393B" w:rsidRPr="00C769EC" w:rsidRDefault="00B5393B" w:rsidP="00C86B62">
            <w:pPr>
              <w:spacing w:line="220" w:lineRule="exact"/>
              <w:jc w:val="center"/>
              <w:rPr>
                <w:rFonts w:hAnsi="標楷體"/>
                <w:sz w:val="20"/>
                <w:highlight w:val="yellow"/>
              </w:rPr>
            </w:pPr>
            <w:r w:rsidRPr="00C769EC">
              <w:rPr>
                <w:rFonts w:hAnsi="標楷體" w:hint="eastAsia"/>
                <w:sz w:val="20"/>
              </w:rPr>
              <w:t>信用風險</w:t>
            </w:r>
          </w:p>
        </w:tc>
        <w:tc>
          <w:tcPr>
            <w:tcW w:w="992"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 XX%</w:t>
            </w:r>
          </w:p>
        </w:tc>
        <w:tc>
          <w:tcPr>
            <w:tcW w:w="1854" w:type="dxa"/>
            <w:tcBorders>
              <w:top w:val="nil"/>
              <w:bottom w:val="nil"/>
            </w:tcBorders>
            <w:shd w:val="clear" w:color="auto" w:fill="auto"/>
            <w:vAlign w:val="center"/>
          </w:tcPr>
          <w:p w:rsidR="00B5393B" w:rsidRPr="00C769EC" w:rsidRDefault="00B5393B" w:rsidP="00AE6C3E">
            <w:pPr>
              <w:spacing w:line="220" w:lineRule="exact"/>
              <w:jc w:val="center"/>
              <w:rPr>
                <w:rFonts w:hAnsi="標楷體"/>
                <w:sz w:val="20"/>
                <w:highlight w:val="yellow"/>
              </w:rPr>
            </w:pPr>
            <w:r w:rsidRPr="00C769EC">
              <w:rPr>
                <w:rFonts w:hAnsi="標楷體" w:hint="eastAsia"/>
                <w:sz w:val="20"/>
              </w:rPr>
              <w:t>信用風險愈高，公允價值愈</w:t>
            </w:r>
            <w:r w:rsidR="00037814" w:rsidRPr="00C769EC">
              <w:rPr>
                <w:rFonts w:hAnsi="標楷體" w:hint="eastAsia"/>
                <w:sz w:val="20"/>
              </w:rPr>
              <w:t>高</w:t>
            </w:r>
            <w:bookmarkStart w:id="5" w:name="_GoBack"/>
            <w:bookmarkEnd w:id="5"/>
          </w:p>
        </w:tc>
      </w:tr>
      <w:tr w:rsidR="00B5393B" w:rsidRPr="00C769EC" w:rsidTr="00A37C7D">
        <w:tc>
          <w:tcPr>
            <w:tcW w:w="2836" w:type="dxa"/>
            <w:tcBorders>
              <w:top w:val="nil"/>
              <w:bottom w:val="nil"/>
            </w:tcBorders>
            <w:shd w:val="clear" w:color="auto" w:fill="auto"/>
            <w:vAlign w:val="center"/>
          </w:tcPr>
          <w:p w:rsidR="00B5393B" w:rsidRPr="00C769EC" w:rsidRDefault="00B5393B" w:rsidP="00D54EB6">
            <w:pPr>
              <w:spacing w:line="220" w:lineRule="exact"/>
              <w:ind w:rightChars="47" w:right="113"/>
              <w:rPr>
                <w:rFonts w:hAnsi="標楷體"/>
                <w:kern w:val="0"/>
                <w:sz w:val="20"/>
              </w:rPr>
            </w:pPr>
          </w:p>
          <w:p w:rsidR="00B5393B" w:rsidRPr="00C769EC" w:rsidRDefault="00037814" w:rsidP="00D54EB6">
            <w:pPr>
              <w:spacing w:line="220" w:lineRule="exact"/>
              <w:ind w:rightChars="47" w:right="113"/>
              <w:rPr>
                <w:rFonts w:hAnsi="標楷體"/>
                <w:kern w:val="0"/>
                <w:sz w:val="20"/>
              </w:rPr>
            </w:pPr>
            <w:r w:rsidRPr="00C769EC">
              <w:rPr>
                <w:rFonts w:hAnsi="標楷體" w:hint="eastAsia"/>
                <w:kern w:val="0"/>
                <w:sz w:val="20"/>
              </w:rPr>
              <w:t>避險之衍生金融資產</w:t>
            </w:r>
          </w:p>
          <w:p w:rsidR="00B5393B" w:rsidRPr="00C769EC" w:rsidRDefault="00037814" w:rsidP="00D54EB6">
            <w:pPr>
              <w:spacing w:line="220" w:lineRule="exact"/>
              <w:ind w:rightChars="47" w:right="113"/>
              <w:rPr>
                <w:rFonts w:hAnsi="標楷體"/>
                <w:kern w:val="0"/>
                <w:sz w:val="20"/>
              </w:rPr>
            </w:pPr>
            <w:r w:rsidRPr="00C769EC">
              <w:rPr>
                <w:rFonts w:hAnsi="標楷體"/>
                <w:kern w:val="0"/>
                <w:sz w:val="20"/>
              </w:rPr>
              <w:t xml:space="preserve">   </w:t>
            </w:r>
            <w:r w:rsidRPr="00C769EC">
              <w:rPr>
                <w:rFonts w:hAnsi="標楷體" w:hint="eastAsia"/>
                <w:kern w:val="0"/>
                <w:sz w:val="20"/>
              </w:rPr>
              <w:t>利率交換選擇權</w:t>
            </w:r>
          </w:p>
          <w:p w:rsidR="00B5393B" w:rsidRPr="00C769EC" w:rsidRDefault="00B5393B" w:rsidP="00D54EB6">
            <w:pPr>
              <w:spacing w:line="220" w:lineRule="exact"/>
              <w:rPr>
                <w:rFonts w:hAnsi="標楷體"/>
                <w:sz w:val="20"/>
              </w:rPr>
            </w:pPr>
          </w:p>
        </w:tc>
        <w:tc>
          <w:tcPr>
            <w:tcW w:w="1559"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$XXX</w:t>
            </w:r>
          </w:p>
        </w:tc>
        <w:tc>
          <w:tcPr>
            <w:tcW w:w="1418"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選擇權訂價模型</w:t>
            </w:r>
          </w:p>
        </w:tc>
        <w:tc>
          <w:tcPr>
            <w:tcW w:w="2126" w:type="dxa"/>
            <w:tcBorders>
              <w:top w:val="nil"/>
              <w:bottom w:val="nil"/>
            </w:tcBorders>
            <w:shd w:val="clear" w:color="auto" w:fill="auto"/>
            <w:vAlign w:val="center"/>
          </w:tcPr>
          <w:p w:rsidR="00B5393B" w:rsidRPr="00C769EC" w:rsidRDefault="00B5393B" w:rsidP="007C1361">
            <w:pPr>
              <w:spacing w:line="220" w:lineRule="exact"/>
              <w:jc w:val="center"/>
              <w:rPr>
                <w:rFonts w:hAnsi="標楷體"/>
                <w:sz w:val="20"/>
              </w:rPr>
            </w:pPr>
            <w:r w:rsidRPr="00C769EC">
              <w:rPr>
                <w:rFonts w:hAnsi="標楷體" w:hint="eastAsia"/>
                <w:sz w:val="20"/>
              </w:rPr>
              <w:t>波動率</w:t>
            </w:r>
          </w:p>
        </w:tc>
        <w:tc>
          <w:tcPr>
            <w:tcW w:w="992"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sz w:val="20"/>
              </w:rPr>
              <w:t>XX%~ XX%</w:t>
            </w:r>
          </w:p>
        </w:tc>
        <w:tc>
          <w:tcPr>
            <w:tcW w:w="1854"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波動率愈高，公允價值愈高</w:t>
            </w:r>
          </w:p>
        </w:tc>
      </w:tr>
      <w:tr w:rsidR="00B5393B" w:rsidRPr="00C769EC" w:rsidTr="00A37C7D">
        <w:tc>
          <w:tcPr>
            <w:tcW w:w="2836" w:type="dxa"/>
            <w:tcBorders>
              <w:top w:val="nil"/>
              <w:bottom w:val="nil"/>
            </w:tcBorders>
            <w:shd w:val="clear" w:color="auto" w:fill="auto"/>
            <w:vAlign w:val="center"/>
          </w:tcPr>
          <w:p w:rsidR="00B5393B" w:rsidRPr="00C769EC" w:rsidRDefault="00B5393B" w:rsidP="00D54EB6">
            <w:pPr>
              <w:spacing w:line="220" w:lineRule="exact"/>
              <w:rPr>
                <w:rFonts w:hAnsi="標楷體"/>
                <w:bCs/>
                <w:kern w:val="0"/>
                <w:sz w:val="20"/>
                <w:u w:val="single"/>
              </w:rPr>
            </w:pPr>
            <w:r w:rsidRPr="00C769EC">
              <w:rPr>
                <w:rFonts w:hAnsi="標楷體" w:hint="eastAsia"/>
                <w:bCs/>
                <w:kern w:val="0"/>
                <w:sz w:val="20"/>
                <w:u w:val="single"/>
              </w:rPr>
              <w:t>非金融資產</w:t>
            </w:r>
          </w:p>
          <w:p w:rsidR="00B5393B" w:rsidRPr="00C769EC" w:rsidRDefault="00B5393B" w:rsidP="00D54EB6">
            <w:pPr>
              <w:spacing w:line="220" w:lineRule="exact"/>
              <w:ind w:rightChars="47" w:right="113"/>
              <w:rPr>
                <w:rFonts w:hAnsi="標楷體"/>
                <w:kern w:val="0"/>
                <w:sz w:val="20"/>
              </w:rPr>
            </w:pPr>
            <w:r w:rsidRPr="00C769EC">
              <w:rPr>
                <w:rFonts w:hAnsi="標楷體" w:hint="eastAsia"/>
                <w:kern w:val="0"/>
                <w:sz w:val="20"/>
              </w:rPr>
              <w:t>投資性不動產</w:t>
            </w:r>
          </w:p>
        </w:tc>
        <w:tc>
          <w:tcPr>
            <w:tcW w:w="1559"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$XXX</w:t>
            </w:r>
          </w:p>
        </w:tc>
        <w:tc>
          <w:tcPr>
            <w:tcW w:w="1418"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現金流量</w:t>
            </w:r>
            <w:proofErr w:type="gramStart"/>
            <w:r w:rsidRPr="00C769EC">
              <w:rPr>
                <w:rFonts w:hAnsi="標楷體" w:hint="eastAsia"/>
                <w:sz w:val="20"/>
              </w:rPr>
              <w:t>折現法</w:t>
            </w:r>
            <w:proofErr w:type="gramEnd"/>
          </w:p>
        </w:tc>
        <w:tc>
          <w:tcPr>
            <w:tcW w:w="2126"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折現率</w:t>
            </w:r>
          </w:p>
        </w:tc>
        <w:tc>
          <w:tcPr>
            <w:tcW w:w="992"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XX%~ XX%</w:t>
            </w:r>
          </w:p>
        </w:tc>
        <w:tc>
          <w:tcPr>
            <w:tcW w:w="1854" w:type="dxa"/>
            <w:tcBorders>
              <w:top w:val="nil"/>
              <w:bottom w:val="nil"/>
            </w:tcBorders>
            <w:shd w:val="clear" w:color="auto" w:fill="auto"/>
            <w:vAlign w:val="center"/>
          </w:tcPr>
          <w:p w:rsidR="00B5393B" w:rsidRPr="00C769EC" w:rsidRDefault="00B5393B" w:rsidP="00D54EB6">
            <w:pPr>
              <w:spacing w:line="220" w:lineRule="exact"/>
              <w:jc w:val="center"/>
              <w:rPr>
                <w:rFonts w:hAnsi="標楷體"/>
                <w:sz w:val="20"/>
              </w:rPr>
            </w:pPr>
            <w:r w:rsidRPr="00C769EC">
              <w:rPr>
                <w:rFonts w:hAnsi="標楷體" w:hint="eastAsia"/>
                <w:sz w:val="20"/>
              </w:rPr>
              <w:t>折現率愈高，公允價值愈低</w:t>
            </w:r>
          </w:p>
        </w:tc>
      </w:tr>
      <w:tr w:rsidR="00B5393B" w:rsidRPr="00C769EC" w:rsidTr="00A37C7D">
        <w:tc>
          <w:tcPr>
            <w:tcW w:w="2836" w:type="dxa"/>
            <w:tcBorders>
              <w:top w:val="nil"/>
            </w:tcBorders>
            <w:shd w:val="clear" w:color="auto" w:fill="auto"/>
          </w:tcPr>
          <w:p w:rsidR="00B5393B" w:rsidRPr="00C769EC" w:rsidRDefault="00B5393B" w:rsidP="00D54EB6">
            <w:pPr>
              <w:spacing w:line="220" w:lineRule="exact"/>
              <w:jc w:val="center"/>
              <w:rPr>
                <w:rFonts w:hAnsi="標楷體"/>
                <w:sz w:val="20"/>
              </w:rPr>
            </w:pPr>
          </w:p>
        </w:tc>
        <w:tc>
          <w:tcPr>
            <w:tcW w:w="1559" w:type="dxa"/>
            <w:tcBorders>
              <w:top w:val="nil"/>
            </w:tcBorders>
            <w:shd w:val="clear" w:color="auto" w:fill="auto"/>
            <w:vAlign w:val="center"/>
          </w:tcPr>
          <w:p w:rsidR="00B5393B" w:rsidRPr="00C769EC" w:rsidRDefault="00B5393B" w:rsidP="00D54EB6">
            <w:pPr>
              <w:spacing w:line="220" w:lineRule="exact"/>
              <w:rPr>
                <w:rFonts w:hAnsi="標楷體"/>
                <w:sz w:val="20"/>
              </w:rPr>
            </w:pPr>
          </w:p>
        </w:tc>
        <w:tc>
          <w:tcPr>
            <w:tcW w:w="1418" w:type="dxa"/>
            <w:tcBorders>
              <w:top w:val="nil"/>
            </w:tcBorders>
            <w:shd w:val="clear" w:color="auto" w:fill="auto"/>
            <w:vAlign w:val="center"/>
          </w:tcPr>
          <w:p w:rsidR="00B5393B" w:rsidRPr="00C769EC" w:rsidRDefault="00B5393B" w:rsidP="00D54EB6">
            <w:pPr>
              <w:spacing w:line="220" w:lineRule="exact"/>
              <w:rPr>
                <w:rFonts w:hAnsi="標楷體"/>
                <w:sz w:val="20"/>
              </w:rPr>
            </w:pPr>
          </w:p>
        </w:tc>
        <w:tc>
          <w:tcPr>
            <w:tcW w:w="2126" w:type="dxa"/>
            <w:tcBorders>
              <w:top w:val="nil"/>
            </w:tcBorders>
            <w:shd w:val="clear" w:color="auto" w:fill="auto"/>
            <w:vAlign w:val="center"/>
          </w:tcPr>
          <w:p w:rsidR="00B5393B" w:rsidRPr="00C769EC" w:rsidRDefault="00B5393B" w:rsidP="00D54EB6">
            <w:pPr>
              <w:spacing w:line="220" w:lineRule="exact"/>
              <w:rPr>
                <w:rFonts w:hAnsi="標楷體"/>
                <w:sz w:val="20"/>
              </w:rPr>
            </w:pPr>
          </w:p>
        </w:tc>
        <w:tc>
          <w:tcPr>
            <w:tcW w:w="992" w:type="dxa"/>
            <w:tcBorders>
              <w:top w:val="nil"/>
            </w:tcBorders>
            <w:shd w:val="clear" w:color="auto" w:fill="auto"/>
            <w:vAlign w:val="center"/>
          </w:tcPr>
          <w:p w:rsidR="00B5393B" w:rsidRPr="00C769EC" w:rsidRDefault="00B5393B" w:rsidP="00D54EB6">
            <w:pPr>
              <w:spacing w:line="220" w:lineRule="exact"/>
              <w:rPr>
                <w:rFonts w:hAnsi="標楷體"/>
                <w:sz w:val="20"/>
              </w:rPr>
            </w:pPr>
          </w:p>
        </w:tc>
        <w:tc>
          <w:tcPr>
            <w:tcW w:w="1854" w:type="dxa"/>
            <w:tcBorders>
              <w:top w:val="nil"/>
            </w:tcBorders>
            <w:shd w:val="clear" w:color="auto" w:fill="auto"/>
            <w:vAlign w:val="center"/>
          </w:tcPr>
          <w:p w:rsidR="00B5393B" w:rsidRPr="00C769EC" w:rsidRDefault="00B5393B" w:rsidP="00D54EB6">
            <w:pPr>
              <w:spacing w:line="220" w:lineRule="exact"/>
              <w:jc w:val="center"/>
              <w:rPr>
                <w:rFonts w:hAnsi="標楷體"/>
                <w:sz w:val="20"/>
              </w:rPr>
            </w:pPr>
          </w:p>
        </w:tc>
      </w:tr>
    </w:tbl>
    <w:p w:rsidR="00B5393B" w:rsidRPr="00C769EC" w:rsidRDefault="00B5393B" w:rsidP="00B5393B">
      <w:pPr>
        <w:snapToGrid w:val="0"/>
        <w:rPr>
          <w:rFonts w:hAnsi="標楷體" w:cs="Arial"/>
          <w:sz w:val="16"/>
          <w:szCs w:val="16"/>
        </w:rPr>
      </w:pPr>
    </w:p>
    <w:tbl>
      <w:tblPr>
        <w:tblW w:w="10913" w:type="dxa"/>
        <w:tblInd w:w="-512" w:type="dxa"/>
        <w:tblLayout w:type="fixed"/>
        <w:tblCellMar>
          <w:left w:w="28" w:type="dxa"/>
          <w:right w:w="28" w:type="dxa"/>
        </w:tblCellMar>
        <w:tblLook w:val="01E0"/>
      </w:tblPr>
      <w:tblGrid>
        <w:gridCol w:w="1260"/>
        <w:gridCol w:w="9653"/>
      </w:tblGrid>
      <w:tr w:rsidR="00B5393B" w:rsidRPr="00C769EC" w:rsidTr="00A37C7D">
        <w:tc>
          <w:tcPr>
            <w:tcW w:w="1260" w:type="dxa"/>
          </w:tcPr>
          <w:p w:rsidR="00B5393B" w:rsidRPr="00C769EC" w:rsidRDefault="00B5393B" w:rsidP="007C1361">
            <w:pPr>
              <w:snapToGrid w:val="0"/>
              <w:rPr>
                <w:rFonts w:hAnsi="標楷體" w:cs="Arial"/>
                <w:sz w:val="16"/>
                <w:szCs w:val="16"/>
              </w:rPr>
            </w:pPr>
            <w:r w:rsidRPr="00C769EC">
              <w:rPr>
                <w:rFonts w:hAnsi="標楷體" w:cs="Arial"/>
                <w:sz w:val="16"/>
                <w:szCs w:val="16"/>
              </w:rPr>
              <w:t>IFRS13</w:t>
            </w:r>
            <w:r w:rsidR="007C1361" w:rsidRPr="00C769EC">
              <w:rPr>
                <w:rFonts w:hAnsi="標楷體" w:cs="Arial" w:hint="eastAsia"/>
                <w:sz w:val="16"/>
                <w:szCs w:val="16"/>
              </w:rPr>
              <w:t>.</w:t>
            </w:r>
            <w:r w:rsidRPr="00C769EC">
              <w:rPr>
                <w:rFonts w:hAnsi="標楷體" w:cs="Arial"/>
                <w:sz w:val="16"/>
                <w:szCs w:val="16"/>
              </w:rPr>
              <w:t>93(</w:t>
            </w:r>
            <w:r w:rsidRPr="00C769EC">
              <w:rPr>
                <w:rFonts w:hAnsi="標楷體" w:cs="Arial" w:hint="eastAsia"/>
                <w:sz w:val="16"/>
                <w:szCs w:val="16"/>
              </w:rPr>
              <w:t>g</w:t>
            </w:r>
            <w:r w:rsidRPr="00C769EC">
              <w:rPr>
                <w:rFonts w:hAnsi="標楷體" w:cs="Arial"/>
                <w:sz w:val="16"/>
                <w:szCs w:val="16"/>
              </w:rPr>
              <w:t>)</w:t>
            </w:r>
          </w:p>
        </w:tc>
        <w:tc>
          <w:tcPr>
            <w:tcW w:w="9653" w:type="dxa"/>
          </w:tcPr>
          <w:p w:rsidR="00B5393B" w:rsidRPr="00C769EC" w:rsidRDefault="00B5393B" w:rsidP="00B5393B">
            <w:pPr>
              <w:numPr>
                <w:ilvl w:val="2"/>
                <w:numId w:val="17"/>
              </w:numPr>
              <w:tabs>
                <w:tab w:val="clear" w:pos="1854"/>
              </w:tabs>
              <w:spacing w:before="120" w:after="120"/>
              <w:ind w:left="1520" w:hanging="425"/>
              <w:jc w:val="both"/>
              <w:outlineLvl w:val="3"/>
              <w:rPr>
                <w:rFonts w:hAnsi="標楷體" w:cs="Arial"/>
                <w:sz w:val="32"/>
                <w:szCs w:val="32"/>
                <w:u w:val="single"/>
              </w:rPr>
            </w:pPr>
            <w:r w:rsidRPr="00C769EC">
              <w:rPr>
                <w:rFonts w:hAnsi="標楷體" w:cs="Arial" w:hint="eastAsia"/>
                <w:sz w:val="32"/>
                <w:szCs w:val="32"/>
                <w:u w:val="single"/>
              </w:rPr>
              <w:t>公允價值歸類於第三等級之評價流程</w:t>
            </w:r>
          </w:p>
        </w:tc>
      </w:tr>
      <w:tr w:rsidR="00B5393B" w:rsidRPr="00C769EC" w:rsidTr="00A37C7D">
        <w:tc>
          <w:tcPr>
            <w:tcW w:w="1260" w:type="dxa"/>
          </w:tcPr>
          <w:p w:rsidR="00B5393B" w:rsidRPr="00C769EC" w:rsidRDefault="00B5393B" w:rsidP="00D54EB6">
            <w:pPr>
              <w:rPr>
                <w:rFonts w:hAnsi="標楷體" w:cs="Arial"/>
                <w:sz w:val="16"/>
                <w:szCs w:val="16"/>
              </w:rPr>
            </w:pPr>
          </w:p>
        </w:tc>
        <w:tc>
          <w:tcPr>
            <w:tcW w:w="9653" w:type="dxa"/>
          </w:tcPr>
          <w:p w:rsidR="00B5393B" w:rsidRPr="00C769EC" w:rsidRDefault="00072156" w:rsidP="007C1361">
            <w:pPr>
              <w:spacing w:before="120" w:after="120"/>
              <w:ind w:leftChars="633" w:left="1519"/>
              <w:jc w:val="both"/>
              <w:outlineLvl w:val="3"/>
              <w:rPr>
                <w:rFonts w:hAnsi="標楷體"/>
                <w:sz w:val="32"/>
                <w:szCs w:val="32"/>
              </w:rPr>
            </w:pPr>
            <w:r w:rsidRPr="00C769EC">
              <w:rPr>
                <w:rFonts w:hAnsi="標楷體" w:hint="eastAsia"/>
                <w:sz w:val="32"/>
                <w:szCs w:val="32"/>
              </w:rPr>
              <w:t>本集團</w:t>
            </w:r>
            <w:r w:rsidR="007C1361" w:rsidRPr="00C769EC">
              <w:rPr>
                <w:rFonts w:hAnsi="標楷體" w:hint="eastAsia"/>
                <w:sz w:val="32"/>
                <w:szCs w:val="32"/>
              </w:rPr>
              <w:t>XXX</w:t>
            </w:r>
            <w:r w:rsidR="00B5393B" w:rsidRPr="00C769EC">
              <w:rPr>
                <w:rFonts w:hAnsi="標楷體" w:hint="eastAsia"/>
                <w:sz w:val="32"/>
                <w:szCs w:val="32"/>
              </w:rPr>
              <w:t>部門之</w:t>
            </w:r>
            <w:r w:rsidR="00B5393B" w:rsidRPr="00C769EC">
              <w:rPr>
                <w:rFonts w:hAnsi="標楷體"/>
                <w:sz w:val="32"/>
                <w:szCs w:val="32"/>
              </w:rPr>
              <w:t>金融</w:t>
            </w:r>
            <w:r w:rsidR="00B5393B" w:rsidRPr="00C769EC">
              <w:rPr>
                <w:rFonts w:hAnsi="標楷體" w:hint="eastAsia"/>
                <w:sz w:val="32"/>
                <w:szCs w:val="32"/>
              </w:rPr>
              <w:t>工具</w:t>
            </w:r>
            <w:r w:rsidR="00B5393B" w:rsidRPr="00C769EC">
              <w:rPr>
                <w:rFonts w:hAnsi="標楷體"/>
                <w:sz w:val="32"/>
                <w:szCs w:val="32"/>
              </w:rPr>
              <w:t>評價</w:t>
            </w:r>
            <w:r w:rsidR="00B5393B" w:rsidRPr="00C769EC">
              <w:rPr>
                <w:rFonts w:hAnsi="標楷體" w:hint="eastAsia"/>
                <w:sz w:val="32"/>
                <w:szCs w:val="32"/>
              </w:rPr>
              <w:t>小組</w:t>
            </w:r>
            <w:r w:rsidR="00B5393B" w:rsidRPr="00C769EC">
              <w:rPr>
                <w:rFonts w:hAnsi="標楷體"/>
                <w:sz w:val="32"/>
                <w:szCs w:val="32"/>
              </w:rPr>
              <w:t>負責進行獨立</w:t>
            </w:r>
            <w:r w:rsidR="00B5393B" w:rsidRPr="00C769EC">
              <w:rPr>
                <w:rFonts w:hAnsi="標楷體" w:hint="eastAsia"/>
                <w:sz w:val="32"/>
                <w:szCs w:val="32"/>
              </w:rPr>
              <w:t>公允價值</w:t>
            </w:r>
            <w:r w:rsidR="00B5393B" w:rsidRPr="00C769EC">
              <w:rPr>
                <w:rFonts w:hAnsi="標楷體"/>
                <w:sz w:val="32"/>
                <w:szCs w:val="32"/>
              </w:rPr>
              <w:t>驗證</w:t>
            </w:r>
            <w:r w:rsidR="00B5393B" w:rsidRPr="00C769EC">
              <w:rPr>
                <w:rFonts w:hAnsi="標楷體" w:hint="eastAsia"/>
                <w:sz w:val="32"/>
                <w:szCs w:val="32"/>
              </w:rPr>
              <w:t>，</w:t>
            </w:r>
            <w:r w:rsidR="00B5393B" w:rsidRPr="00C769EC">
              <w:rPr>
                <w:rFonts w:hAnsi="標楷體"/>
                <w:sz w:val="32"/>
                <w:szCs w:val="32"/>
              </w:rPr>
              <w:t>藉獨立來源資料</w:t>
            </w:r>
            <w:r w:rsidR="00B5393B" w:rsidRPr="00C769EC">
              <w:rPr>
                <w:rFonts w:hAnsi="標楷體" w:hint="eastAsia"/>
                <w:sz w:val="32"/>
                <w:szCs w:val="32"/>
              </w:rPr>
              <w:t>使</w:t>
            </w:r>
            <w:r w:rsidR="00B5393B" w:rsidRPr="00C769EC">
              <w:rPr>
                <w:rFonts w:hAnsi="標楷體"/>
                <w:sz w:val="32"/>
                <w:szCs w:val="32"/>
              </w:rPr>
              <w:t>評價</w:t>
            </w:r>
            <w:r w:rsidR="00B5393B" w:rsidRPr="00C769EC">
              <w:rPr>
                <w:rFonts w:hAnsi="標楷體" w:hint="eastAsia"/>
                <w:sz w:val="32"/>
                <w:szCs w:val="32"/>
              </w:rPr>
              <w:t>結果貼近</w:t>
            </w:r>
            <w:r w:rsidR="00B5393B" w:rsidRPr="00C769EC">
              <w:rPr>
                <w:rFonts w:hAnsi="標楷體"/>
                <w:sz w:val="32"/>
                <w:szCs w:val="32"/>
              </w:rPr>
              <w:t>市場狀態</w:t>
            </w:r>
            <w:r w:rsidR="00B5393B" w:rsidRPr="00C769EC">
              <w:rPr>
                <w:rFonts w:hAnsi="標楷體" w:hint="eastAsia"/>
                <w:sz w:val="32"/>
                <w:szCs w:val="32"/>
              </w:rPr>
              <w:t>、確認</w:t>
            </w:r>
            <w:r w:rsidR="00B5393B" w:rsidRPr="00C769EC">
              <w:rPr>
                <w:rFonts w:hAnsi="標楷體"/>
                <w:sz w:val="32"/>
                <w:szCs w:val="32"/>
              </w:rPr>
              <w:t>資料來源</w:t>
            </w:r>
            <w:r w:rsidR="00B5393B" w:rsidRPr="00C769EC">
              <w:rPr>
                <w:rFonts w:hAnsi="標楷體" w:hint="eastAsia"/>
                <w:sz w:val="32"/>
                <w:szCs w:val="32"/>
              </w:rPr>
              <w:t>係</w:t>
            </w:r>
            <w:r w:rsidR="00B5393B" w:rsidRPr="00C769EC">
              <w:rPr>
                <w:rFonts w:hAnsi="標楷體"/>
                <w:sz w:val="32"/>
                <w:szCs w:val="32"/>
              </w:rPr>
              <w:t>獨立、可靠、與其他資源一致以及代表可執行價格</w:t>
            </w:r>
            <w:r w:rsidR="00B5393B" w:rsidRPr="00C769EC">
              <w:rPr>
                <w:rFonts w:hAnsi="標楷體" w:hint="eastAsia"/>
                <w:sz w:val="32"/>
                <w:szCs w:val="32"/>
              </w:rPr>
              <w:t>，並定期校準評價模型、進行回溯測試、更新評價模型所需輸入值及資料及其他任何必要之公允價值調整，以確保評價結果係屬合理。投資性不動產則由</w:t>
            </w:r>
            <w:r w:rsidRPr="00C769EC">
              <w:rPr>
                <w:rFonts w:hAnsi="標楷體" w:hint="eastAsia"/>
                <w:sz w:val="32"/>
                <w:szCs w:val="32"/>
              </w:rPr>
              <w:t>本集團</w:t>
            </w:r>
            <w:r w:rsidR="007C1361" w:rsidRPr="00C769EC">
              <w:rPr>
                <w:rFonts w:hAnsi="標楷體" w:hint="eastAsia"/>
                <w:sz w:val="32"/>
                <w:szCs w:val="32"/>
              </w:rPr>
              <w:t>XXX</w:t>
            </w:r>
            <w:proofErr w:type="gramStart"/>
            <w:r w:rsidR="00B5393B" w:rsidRPr="00C769EC">
              <w:rPr>
                <w:rFonts w:hAnsi="標楷體" w:hint="eastAsia"/>
                <w:sz w:val="32"/>
                <w:szCs w:val="32"/>
              </w:rPr>
              <w:t>部門依金管</w:t>
            </w:r>
            <w:proofErr w:type="gramEnd"/>
            <w:r w:rsidR="00B5393B" w:rsidRPr="00C769EC">
              <w:rPr>
                <w:rFonts w:hAnsi="標楷體" w:hint="eastAsia"/>
                <w:sz w:val="32"/>
                <w:szCs w:val="32"/>
              </w:rPr>
              <w:t>會公告之評價方法及參數假設定期評價或委由外部估價師</w:t>
            </w:r>
            <w:proofErr w:type="gramStart"/>
            <w:r w:rsidR="00B5393B" w:rsidRPr="00C769EC">
              <w:rPr>
                <w:rFonts w:hAnsi="標楷體" w:hint="eastAsia"/>
                <w:sz w:val="32"/>
                <w:szCs w:val="32"/>
              </w:rPr>
              <w:t>鑑</w:t>
            </w:r>
            <w:proofErr w:type="gramEnd"/>
            <w:r w:rsidR="00B5393B" w:rsidRPr="00C769EC">
              <w:rPr>
                <w:rFonts w:hAnsi="標楷體" w:hint="eastAsia"/>
                <w:sz w:val="32"/>
                <w:szCs w:val="32"/>
              </w:rPr>
              <w:t>價。</w:t>
            </w:r>
          </w:p>
        </w:tc>
      </w:tr>
      <w:tr w:rsidR="00B5393B" w:rsidRPr="00C769EC" w:rsidTr="00A37C7D">
        <w:tc>
          <w:tcPr>
            <w:tcW w:w="1260" w:type="dxa"/>
          </w:tcPr>
          <w:p w:rsidR="00B5393B" w:rsidRPr="00C769EC" w:rsidRDefault="00B5393B" w:rsidP="00A764FC">
            <w:pPr>
              <w:snapToGrid w:val="0"/>
              <w:rPr>
                <w:rFonts w:hAnsi="標楷體" w:cs="Arial"/>
                <w:sz w:val="16"/>
                <w:szCs w:val="16"/>
              </w:rPr>
            </w:pPr>
            <w:r w:rsidRPr="00C769EC">
              <w:rPr>
                <w:rFonts w:hAnsi="標楷體" w:cs="Arial"/>
                <w:sz w:val="16"/>
                <w:szCs w:val="16"/>
              </w:rPr>
              <w:t>IFRS</w:t>
            </w:r>
            <w:r w:rsidRPr="00C769EC">
              <w:rPr>
                <w:rFonts w:hAnsi="標楷體" w:cs="Arial" w:hint="eastAsia"/>
                <w:sz w:val="16"/>
                <w:szCs w:val="16"/>
              </w:rPr>
              <w:t>13</w:t>
            </w:r>
            <w:r w:rsidR="00A764FC" w:rsidRPr="00C769EC">
              <w:rPr>
                <w:rFonts w:hAnsi="標楷體" w:cs="Arial" w:hint="eastAsia"/>
                <w:sz w:val="16"/>
                <w:szCs w:val="16"/>
              </w:rPr>
              <w:t>.</w:t>
            </w:r>
            <w:r w:rsidRPr="00C769EC">
              <w:rPr>
                <w:rFonts w:hAnsi="標楷體" w:cs="Arial" w:hint="eastAsia"/>
                <w:sz w:val="16"/>
                <w:szCs w:val="16"/>
              </w:rPr>
              <w:t>93(h</w:t>
            </w:r>
            <w:r w:rsidRPr="00C769EC">
              <w:rPr>
                <w:rFonts w:hAnsi="標楷體" w:cs="Arial"/>
                <w:sz w:val="16"/>
                <w:szCs w:val="16"/>
              </w:rPr>
              <w:t>)</w:t>
            </w:r>
            <w:r w:rsidRPr="00C769EC">
              <w:rPr>
                <w:rFonts w:hAnsi="標楷體" w:cs="Arial" w:hint="eastAsia"/>
                <w:sz w:val="16"/>
                <w:szCs w:val="16"/>
              </w:rPr>
              <w:t>(ii)</w:t>
            </w:r>
          </w:p>
        </w:tc>
        <w:tc>
          <w:tcPr>
            <w:tcW w:w="9653" w:type="dxa"/>
          </w:tcPr>
          <w:p w:rsidR="00B5393B" w:rsidRPr="00C769EC" w:rsidRDefault="00B5393B" w:rsidP="00B5393B">
            <w:pPr>
              <w:numPr>
                <w:ilvl w:val="2"/>
                <w:numId w:val="17"/>
              </w:numPr>
              <w:tabs>
                <w:tab w:val="clear" w:pos="1854"/>
              </w:tabs>
              <w:spacing w:before="120" w:after="120"/>
              <w:ind w:left="1520" w:hanging="425"/>
              <w:jc w:val="both"/>
              <w:outlineLvl w:val="3"/>
              <w:rPr>
                <w:rFonts w:hAnsi="標楷體" w:cs="Arial"/>
                <w:sz w:val="32"/>
                <w:szCs w:val="32"/>
              </w:rPr>
            </w:pPr>
            <w:bookmarkStart w:id="6" w:name="_Ref313449585"/>
            <w:r w:rsidRPr="00C769EC">
              <w:rPr>
                <w:rFonts w:hAnsi="標楷體" w:cs="Arial"/>
                <w:sz w:val="32"/>
                <w:szCs w:val="32"/>
                <w:u w:val="single"/>
              </w:rPr>
              <w:t>對第三等級之公允價值衡量，公允價值對合理可能替代假設之敏感度分析</w:t>
            </w:r>
            <w:r w:rsidRPr="00C769EC">
              <w:rPr>
                <w:rStyle w:val="af8"/>
                <w:rFonts w:hAnsi="標楷體" w:cs="Arial"/>
                <w:sz w:val="32"/>
                <w:szCs w:val="32"/>
                <w:u w:val="single"/>
              </w:rPr>
              <w:footnoteReference w:id="5"/>
            </w:r>
            <w:bookmarkEnd w:id="6"/>
          </w:p>
        </w:tc>
      </w:tr>
      <w:tr w:rsidR="00B5393B" w:rsidRPr="00C769EC" w:rsidTr="00A37C7D">
        <w:tc>
          <w:tcPr>
            <w:tcW w:w="1260" w:type="dxa"/>
          </w:tcPr>
          <w:p w:rsidR="00B5393B" w:rsidRPr="00C769EC" w:rsidRDefault="00B5393B" w:rsidP="00D54EB6">
            <w:pPr>
              <w:spacing w:before="120" w:after="120"/>
              <w:rPr>
                <w:rFonts w:hAnsi="標楷體" w:cs="Arial"/>
                <w:sz w:val="16"/>
                <w:szCs w:val="16"/>
              </w:rPr>
            </w:pPr>
          </w:p>
        </w:tc>
        <w:tc>
          <w:tcPr>
            <w:tcW w:w="9653" w:type="dxa"/>
          </w:tcPr>
          <w:p w:rsidR="00B5393B" w:rsidRPr="00222CD6" w:rsidRDefault="00072156" w:rsidP="00FB3E46">
            <w:pPr>
              <w:spacing w:before="120" w:after="120"/>
              <w:ind w:left="1534"/>
              <w:jc w:val="both"/>
              <w:outlineLvl w:val="3"/>
              <w:rPr>
                <w:rFonts w:hAnsi="標楷體" w:cs="Arial"/>
                <w:i/>
                <w:color w:val="0070C0"/>
                <w:sz w:val="20"/>
              </w:rPr>
            </w:pPr>
            <w:r w:rsidRPr="00C769EC">
              <w:rPr>
                <w:rFonts w:hAnsi="標楷體" w:cs="Arial"/>
                <w:sz w:val="32"/>
                <w:szCs w:val="32"/>
              </w:rPr>
              <w:t>本集團</w:t>
            </w:r>
            <w:r w:rsidR="00B5393B" w:rsidRPr="00C769EC">
              <w:rPr>
                <w:rFonts w:hAnsi="標楷體" w:cs="Arial"/>
                <w:sz w:val="32"/>
                <w:szCs w:val="32"/>
              </w:rPr>
              <w:t>對金融工具之公允價值衡量係屬合理，惟若使用不同之評價模型或評價參數可能導致評價之結果不同。針對分類為第三等級之金融工具，若評價參數變動，則對本期</w:t>
            </w:r>
            <w:r w:rsidR="00B5393B" w:rsidRPr="00C769EC">
              <w:rPr>
                <w:rFonts w:hAnsi="標楷體" w:cs="Arial"/>
                <w:sz w:val="32"/>
                <w:szCs w:val="32"/>
              </w:rPr>
              <w:lastRenderedPageBreak/>
              <w:t>損益或其他綜合損益之影響如下：</w:t>
            </w:r>
            <w:r w:rsidR="007B1B3D" w:rsidRPr="00222CD6">
              <w:rPr>
                <w:rFonts w:hAnsi="標楷體" w:cs="Arial" w:hint="eastAsia"/>
                <w:i/>
                <w:color w:val="0070C0"/>
                <w:sz w:val="20"/>
              </w:rPr>
              <w:t>(由於2010年版之IFRS 7.27B (e)規定，對第三等級之公允價值衡量，若有因輸入值發生重大變動，須分析該等變動之影響數，此與IFRS 13.93(h)規定之資訊相</w:t>
            </w:r>
            <w:r w:rsidR="00222CD6" w:rsidRPr="00222CD6">
              <w:rPr>
                <w:rFonts w:hAnsi="標楷體" w:cs="Arial" w:hint="eastAsia"/>
                <w:i/>
                <w:color w:val="0070C0"/>
                <w:sz w:val="20"/>
              </w:rPr>
              <w:t>同，非2013年版新增之內容，因此前期資訊若屬重大，仍須揭露</w:t>
            </w:r>
            <w:r w:rsidR="007B1B3D" w:rsidRPr="00222CD6">
              <w:rPr>
                <w:rFonts w:hAnsi="標楷體" w:cs="Arial" w:hint="eastAsia"/>
                <w:i/>
                <w:color w:val="0070C0"/>
                <w:sz w:val="20"/>
              </w:rPr>
              <w:t>)</w:t>
            </w:r>
          </w:p>
          <w:p w:rsidR="00FB3E46" w:rsidRPr="00FB3E46" w:rsidRDefault="00FB3E46" w:rsidP="00E455F3">
            <w:pPr>
              <w:spacing w:before="120" w:after="120"/>
              <w:ind w:left="1534"/>
              <w:jc w:val="both"/>
              <w:outlineLvl w:val="3"/>
              <w:rPr>
                <w:rFonts w:hAnsi="標楷體" w:cs="Arial"/>
                <w:color w:val="0070C0"/>
                <w:kern w:val="0"/>
                <w:sz w:val="20"/>
              </w:rPr>
            </w:pPr>
            <w:proofErr w:type="gramStart"/>
            <w:r w:rsidRPr="00B60BBF">
              <w:rPr>
                <w:rFonts w:hAnsi="標楷體" w:cs="Arial" w:hint="eastAsia"/>
                <w:color w:val="0070C0"/>
                <w:sz w:val="20"/>
              </w:rPr>
              <w:t>註</w:t>
            </w:r>
            <w:proofErr w:type="gramEnd"/>
            <w:r w:rsidRPr="00B60BBF">
              <w:rPr>
                <w:rFonts w:hAnsi="標楷體" w:cs="Arial" w:hint="eastAsia"/>
                <w:color w:val="0070C0"/>
                <w:sz w:val="20"/>
              </w:rPr>
              <w:t>：關於此資訊，企業應依據實際情況，決定以表格或文字表達。</w:t>
            </w:r>
          </w:p>
        </w:tc>
      </w:tr>
      <w:tr w:rsidR="00B5393B" w:rsidRPr="00C769EC" w:rsidTr="00A37C7D">
        <w:tc>
          <w:tcPr>
            <w:tcW w:w="1260" w:type="dxa"/>
          </w:tcPr>
          <w:p w:rsidR="00B5393B" w:rsidRPr="00C769EC" w:rsidRDefault="00B5393B" w:rsidP="00D54EB6">
            <w:pPr>
              <w:rPr>
                <w:rFonts w:hAnsi="標楷體" w:cs="Arial"/>
                <w:sz w:val="16"/>
                <w:szCs w:val="16"/>
              </w:rPr>
            </w:pPr>
          </w:p>
        </w:tc>
        <w:tc>
          <w:tcPr>
            <w:tcW w:w="9653" w:type="dxa"/>
          </w:tcPr>
          <w:tbl>
            <w:tblPr>
              <w:tblW w:w="961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508"/>
              <w:gridCol w:w="1150"/>
              <w:gridCol w:w="1134"/>
              <w:gridCol w:w="1134"/>
              <w:gridCol w:w="1134"/>
              <w:gridCol w:w="1276"/>
              <w:gridCol w:w="1276"/>
            </w:tblGrid>
            <w:tr w:rsidR="00FB3E46" w:rsidRPr="00C769EC" w:rsidTr="00FB3E46">
              <w:tc>
                <w:tcPr>
                  <w:tcW w:w="2508" w:type="dxa"/>
                  <w:vMerge w:val="restart"/>
                  <w:tcBorders>
                    <w:top w:val="single" w:sz="4" w:space="0" w:color="auto"/>
                    <w:bottom w:val="single" w:sz="4" w:space="0" w:color="auto"/>
                    <w:right w:val="single" w:sz="4" w:space="0" w:color="auto"/>
                  </w:tcBorders>
                  <w:shd w:val="clear" w:color="auto" w:fill="auto"/>
                  <w:noWrap/>
                  <w:vAlign w:val="bottom"/>
                </w:tcPr>
                <w:p w:rsidR="00FB3E46" w:rsidRPr="00C769EC" w:rsidRDefault="00FB3E46" w:rsidP="00FB3E46">
                  <w:pPr>
                    <w:widowControl/>
                    <w:snapToGrid w:val="0"/>
                    <w:spacing w:line="240" w:lineRule="atLeast"/>
                    <w:jc w:val="center"/>
                    <w:rPr>
                      <w:rFonts w:hAnsi="標楷體" w:cs="Arial"/>
                      <w:kern w:val="0"/>
                      <w:sz w:val="20"/>
                    </w:rPr>
                  </w:pPr>
                  <w:r w:rsidRPr="00C769EC">
                    <w:rPr>
                      <w:rFonts w:hAnsi="標楷體" w:cs="Arial"/>
                      <w:kern w:val="0"/>
                      <w:sz w:val="20"/>
                    </w:rPr>
                    <w:t>項目</w:t>
                  </w:r>
                </w:p>
              </w:tc>
              <w:tc>
                <w:tcPr>
                  <w:tcW w:w="1150" w:type="dxa"/>
                  <w:vMerge w:val="restart"/>
                  <w:tcBorders>
                    <w:top w:val="single" w:sz="4" w:space="0" w:color="auto"/>
                    <w:right w:val="single" w:sz="4" w:space="0" w:color="auto"/>
                  </w:tcBorders>
                  <w:vAlign w:val="bottom"/>
                </w:tcPr>
                <w:p w:rsidR="00FB3E46" w:rsidRPr="00B60BBF" w:rsidRDefault="00FB3E46" w:rsidP="00FB3E46">
                  <w:pPr>
                    <w:widowControl/>
                    <w:snapToGrid w:val="0"/>
                    <w:spacing w:line="240" w:lineRule="atLeast"/>
                    <w:jc w:val="center"/>
                    <w:rPr>
                      <w:rFonts w:hAnsi="標楷體" w:cs="Arial"/>
                      <w:kern w:val="0"/>
                      <w:sz w:val="20"/>
                    </w:rPr>
                  </w:pPr>
                  <w:r w:rsidRPr="00B60BBF">
                    <w:rPr>
                      <w:rFonts w:hAnsi="標楷體" w:cs="Arial" w:hint="eastAsia"/>
                      <w:kern w:val="0"/>
                      <w:sz w:val="20"/>
                    </w:rPr>
                    <w:t>輸入值</w:t>
                  </w:r>
                </w:p>
              </w:tc>
              <w:tc>
                <w:tcPr>
                  <w:tcW w:w="1134" w:type="dxa"/>
                  <w:vMerge w:val="restart"/>
                  <w:tcBorders>
                    <w:top w:val="single" w:sz="4" w:space="0" w:color="auto"/>
                    <w:right w:val="single" w:sz="4" w:space="0" w:color="auto"/>
                  </w:tcBorders>
                  <w:vAlign w:val="bottom"/>
                </w:tcPr>
                <w:p w:rsidR="00FB3E46" w:rsidRPr="00B60BBF" w:rsidRDefault="00FB3E46" w:rsidP="00FB3E46">
                  <w:pPr>
                    <w:widowControl/>
                    <w:snapToGrid w:val="0"/>
                    <w:spacing w:line="240" w:lineRule="atLeast"/>
                    <w:jc w:val="center"/>
                    <w:rPr>
                      <w:rFonts w:hAnsi="標楷體" w:cs="Arial"/>
                      <w:kern w:val="0"/>
                      <w:sz w:val="20"/>
                    </w:rPr>
                  </w:pPr>
                  <w:r w:rsidRPr="00B60BBF">
                    <w:rPr>
                      <w:rFonts w:hAnsi="標楷體" w:cs="Arial"/>
                      <w:kern w:val="0"/>
                      <w:sz w:val="20"/>
                    </w:rPr>
                    <w:t>向上或下</w:t>
                  </w:r>
                </w:p>
                <w:p w:rsidR="00FB3E46" w:rsidRPr="00B60BBF" w:rsidRDefault="00FB3E46" w:rsidP="00FB3E46">
                  <w:pPr>
                    <w:widowControl/>
                    <w:snapToGrid w:val="0"/>
                    <w:spacing w:line="240" w:lineRule="atLeast"/>
                    <w:jc w:val="center"/>
                    <w:rPr>
                      <w:rFonts w:hAnsi="標楷體" w:cs="Arial"/>
                      <w:kern w:val="0"/>
                      <w:sz w:val="20"/>
                    </w:rPr>
                  </w:pPr>
                  <w:r w:rsidRPr="00B60BBF">
                    <w:rPr>
                      <w:rFonts w:hAnsi="標楷體" w:cs="Arial"/>
                      <w:kern w:val="0"/>
                      <w:sz w:val="20"/>
                    </w:rPr>
                    <w:t>變動</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3E46" w:rsidRPr="00C769EC" w:rsidRDefault="00FB3E46" w:rsidP="00D54EB6">
                  <w:pPr>
                    <w:widowControl/>
                    <w:snapToGrid w:val="0"/>
                    <w:spacing w:line="240" w:lineRule="atLeast"/>
                    <w:jc w:val="center"/>
                    <w:rPr>
                      <w:rFonts w:hAnsi="標楷體" w:cs="Arial"/>
                      <w:kern w:val="0"/>
                      <w:sz w:val="20"/>
                    </w:rPr>
                  </w:pPr>
                  <w:r w:rsidRPr="00C769EC">
                    <w:rPr>
                      <w:rFonts w:hAnsi="標楷體" w:cs="Arial"/>
                      <w:kern w:val="0"/>
                      <w:sz w:val="20"/>
                    </w:rPr>
                    <w:t>公允價值變動</w:t>
                  </w:r>
                </w:p>
                <w:p w:rsidR="00FB3E46" w:rsidRPr="00C769EC" w:rsidRDefault="00FB3E46" w:rsidP="00D54EB6">
                  <w:pPr>
                    <w:widowControl/>
                    <w:snapToGrid w:val="0"/>
                    <w:spacing w:line="240" w:lineRule="atLeast"/>
                    <w:jc w:val="center"/>
                    <w:rPr>
                      <w:rFonts w:hAnsi="標楷體" w:cs="Arial"/>
                      <w:kern w:val="0"/>
                      <w:sz w:val="20"/>
                    </w:rPr>
                  </w:pPr>
                  <w:r w:rsidRPr="00C769EC">
                    <w:rPr>
                      <w:rFonts w:hAnsi="標楷體" w:cs="Arial"/>
                      <w:kern w:val="0"/>
                      <w:sz w:val="20"/>
                    </w:rPr>
                    <w:t>反應於本期損益</w:t>
                  </w:r>
                </w:p>
              </w:tc>
              <w:tc>
                <w:tcPr>
                  <w:tcW w:w="2552" w:type="dxa"/>
                  <w:gridSpan w:val="2"/>
                  <w:tcBorders>
                    <w:top w:val="single" w:sz="4" w:space="0" w:color="auto"/>
                    <w:left w:val="single" w:sz="4" w:space="0" w:color="auto"/>
                    <w:bottom w:val="single" w:sz="4" w:space="0" w:color="auto"/>
                  </w:tcBorders>
                  <w:shd w:val="clear" w:color="auto" w:fill="auto"/>
                  <w:noWrap/>
                  <w:vAlign w:val="bottom"/>
                </w:tcPr>
                <w:p w:rsidR="00FB3E46" w:rsidRPr="00C769EC" w:rsidRDefault="00FB3E46" w:rsidP="00D54EB6">
                  <w:pPr>
                    <w:widowControl/>
                    <w:snapToGrid w:val="0"/>
                    <w:spacing w:line="240" w:lineRule="atLeast"/>
                    <w:jc w:val="center"/>
                    <w:rPr>
                      <w:rFonts w:hAnsi="標楷體" w:cs="Arial"/>
                      <w:kern w:val="0"/>
                      <w:sz w:val="20"/>
                    </w:rPr>
                  </w:pPr>
                  <w:r w:rsidRPr="00C769EC">
                    <w:rPr>
                      <w:rFonts w:hAnsi="標楷體" w:cs="Arial"/>
                      <w:kern w:val="0"/>
                      <w:sz w:val="20"/>
                    </w:rPr>
                    <w:t>公允價值變動</w:t>
                  </w:r>
                </w:p>
                <w:p w:rsidR="00FB3E46" w:rsidRPr="00C769EC" w:rsidRDefault="00FB3E46" w:rsidP="00D54EB6">
                  <w:pPr>
                    <w:widowControl/>
                    <w:snapToGrid w:val="0"/>
                    <w:spacing w:line="240" w:lineRule="atLeast"/>
                    <w:jc w:val="center"/>
                    <w:rPr>
                      <w:rFonts w:hAnsi="標楷體" w:cs="Arial"/>
                      <w:kern w:val="0"/>
                      <w:sz w:val="20"/>
                    </w:rPr>
                  </w:pPr>
                  <w:r w:rsidRPr="00C769EC">
                    <w:rPr>
                      <w:rFonts w:hAnsi="標楷體" w:cs="Arial"/>
                      <w:kern w:val="0"/>
                      <w:sz w:val="20"/>
                    </w:rPr>
                    <w:t>反應於其他綜合損益</w:t>
                  </w:r>
                </w:p>
              </w:tc>
            </w:tr>
            <w:tr w:rsidR="00FB3E46" w:rsidRPr="00C769EC" w:rsidTr="007B1B3D">
              <w:tc>
                <w:tcPr>
                  <w:tcW w:w="2508" w:type="dxa"/>
                  <w:vMerge/>
                  <w:tcBorders>
                    <w:top w:val="nil"/>
                    <w:bottom w:val="single" w:sz="4" w:space="0" w:color="auto"/>
                    <w:right w:val="single" w:sz="4" w:space="0" w:color="auto"/>
                  </w:tcBorders>
                  <w:shd w:val="clear" w:color="auto" w:fill="auto"/>
                  <w:noWrap/>
                  <w:vAlign w:val="center"/>
                </w:tcPr>
                <w:p w:rsidR="00FB3E46" w:rsidRPr="00C769EC" w:rsidRDefault="00FB3E46" w:rsidP="00D54EB6">
                  <w:pPr>
                    <w:widowControl/>
                    <w:snapToGrid w:val="0"/>
                    <w:spacing w:line="240" w:lineRule="atLeast"/>
                    <w:rPr>
                      <w:rFonts w:hAnsi="標楷體" w:cs="Arial"/>
                      <w:b/>
                      <w:kern w:val="0"/>
                      <w:sz w:val="20"/>
                    </w:rPr>
                  </w:pPr>
                </w:p>
              </w:tc>
              <w:tc>
                <w:tcPr>
                  <w:tcW w:w="1150" w:type="dxa"/>
                  <w:vMerge/>
                  <w:tcBorders>
                    <w:bottom w:val="single" w:sz="4" w:space="0" w:color="auto"/>
                    <w:right w:val="single" w:sz="4" w:space="0" w:color="auto"/>
                  </w:tcBorders>
                </w:tcPr>
                <w:p w:rsidR="00FB3E46" w:rsidRPr="00C769EC" w:rsidRDefault="00FB3E46" w:rsidP="00D54EB6">
                  <w:pPr>
                    <w:widowControl/>
                    <w:wordWrap w:val="0"/>
                    <w:snapToGrid w:val="0"/>
                    <w:spacing w:line="240" w:lineRule="atLeast"/>
                    <w:ind w:right="73"/>
                    <w:jc w:val="center"/>
                    <w:rPr>
                      <w:rFonts w:hAnsi="標楷體" w:cs="Arial"/>
                      <w:kern w:val="0"/>
                      <w:sz w:val="20"/>
                    </w:rPr>
                  </w:pPr>
                </w:p>
              </w:tc>
              <w:tc>
                <w:tcPr>
                  <w:tcW w:w="1134" w:type="dxa"/>
                  <w:vMerge/>
                  <w:tcBorders>
                    <w:bottom w:val="single" w:sz="4" w:space="0" w:color="auto"/>
                    <w:right w:val="single" w:sz="4" w:space="0" w:color="auto"/>
                  </w:tcBorders>
                </w:tcPr>
                <w:p w:rsidR="00FB3E46" w:rsidRPr="00C769EC" w:rsidRDefault="00FB3E46" w:rsidP="00D54EB6">
                  <w:pPr>
                    <w:widowControl/>
                    <w:wordWrap w:val="0"/>
                    <w:snapToGrid w:val="0"/>
                    <w:spacing w:line="240" w:lineRule="atLeast"/>
                    <w:ind w:right="73"/>
                    <w:jc w:val="center"/>
                    <w:rPr>
                      <w:rFonts w:hAnsi="標楷體" w:cs="Arial"/>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center"/>
                    <w:rPr>
                      <w:rFonts w:hAnsi="標楷體" w:cs="Arial"/>
                      <w:kern w:val="0"/>
                      <w:sz w:val="20"/>
                    </w:rPr>
                  </w:pPr>
                  <w:r w:rsidRPr="00C769EC">
                    <w:rPr>
                      <w:rFonts w:hAnsi="標楷體" w:cs="Arial"/>
                      <w:kern w:val="0"/>
                      <w:sz w:val="20"/>
                    </w:rPr>
                    <w:t>有利變動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center"/>
                    <w:rPr>
                      <w:rFonts w:hAnsi="標楷體" w:cs="Arial"/>
                      <w:kern w:val="0"/>
                      <w:sz w:val="20"/>
                    </w:rPr>
                  </w:pPr>
                  <w:r w:rsidRPr="00C769EC">
                    <w:rPr>
                      <w:rFonts w:hAnsi="標楷體" w:cs="Arial"/>
                      <w:kern w:val="0"/>
                      <w:sz w:val="20"/>
                    </w:rPr>
                    <w:t>不利變動</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E46" w:rsidRPr="00C769EC" w:rsidRDefault="00FB3E46" w:rsidP="00D54EB6">
                  <w:pPr>
                    <w:widowControl/>
                    <w:snapToGrid w:val="0"/>
                    <w:spacing w:line="240" w:lineRule="atLeast"/>
                    <w:ind w:right="73"/>
                    <w:jc w:val="center"/>
                    <w:rPr>
                      <w:rFonts w:hAnsi="標楷體" w:cs="Arial"/>
                      <w:kern w:val="0"/>
                      <w:sz w:val="20"/>
                    </w:rPr>
                  </w:pPr>
                  <w:r w:rsidRPr="00C769EC">
                    <w:rPr>
                      <w:rFonts w:hAnsi="標楷體" w:cs="Arial"/>
                      <w:kern w:val="0"/>
                      <w:sz w:val="20"/>
                    </w:rPr>
                    <w:t>有利變動</w:t>
                  </w:r>
                </w:p>
              </w:tc>
              <w:tc>
                <w:tcPr>
                  <w:tcW w:w="1276" w:type="dxa"/>
                  <w:tcBorders>
                    <w:top w:val="single" w:sz="4" w:space="0" w:color="auto"/>
                    <w:left w:val="single" w:sz="4" w:space="0" w:color="auto"/>
                    <w:bottom w:val="single" w:sz="4" w:space="0" w:color="auto"/>
                  </w:tcBorders>
                  <w:shd w:val="clear" w:color="auto" w:fill="auto"/>
                  <w:noWrap/>
                  <w:vAlign w:val="bottom"/>
                </w:tcPr>
                <w:p w:rsidR="00FB3E46" w:rsidRPr="00C769EC" w:rsidRDefault="00FB3E46" w:rsidP="00D54EB6">
                  <w:pPr>
                    <w:widowControl/>
                    <w:snapToGrid w:val="0"/>
                    <w:spacing w:line="240" w:lineRule="atLeast"/>
                    <w:ind w:right="73"/>
                    <w:jc w:val="center"/>
                    <w:rPr>
                      <w:rFonts w:hAnsi="標楷體" w:cs="Arial"/>
                      <w:kern w:val="0"/>
                      <w:sz w:val="20"/>
                    </w:rPr>
                  </w:pPr>
                  <w:r w:rsidRPr="00C769EC">
                    <w:rPr>
                      <w:rFonts w:hAnsi="標楷體" w:cs="Arial"/>
                      <w:kern w:val="0"/>
                      <w:sz w:val="20"/>
                    </w:rPr>
                    <w:t>不利變動</w:t>
                  </w:r>
                </w:p>
              </w:tc>
            </w:tr>
            <w:tr w:rsidR="00FB3E46" w:rsidRPr="00C769EC" w:rsidTr="00FB3E46">
              <w:tc>
                <w:tcPr>
                  <w:tcW w:w="2508" w:type="dxa"/>
                  <w:tcBorders>
                    <w:top w:val="single" w:sz="4" w:space="0" w:color="auto"/>
                    <w:bottom w:val="nil"/>
                    <w:right w:val="single" w:sz="4" w:space="0" w:color="auto"/>
                  </w:tcBorders>
                  <w:shd w:val="clear" w:color="auto" w:fill="auto"/>
                  <w:noWrap/>
                  <w:vAlign w:val="center"/>
                </w:tcPr>
                <w:p w:rsidR="00FB3E46" w:rsidRPr="00C769EC" w:rsidRDefault="00FB3E46" w:rsidP="00C44367">
                  <w:pPr>
                    <w:widowControl/>
                    <w:snapToGrid w:val="0"/>
                    <w:spacing w:line="240" w:lineRule="atLeast"/>
                    <w:rPr>
                      <w:rFonts w:hAnsi="標楷體" w:cs="Arial"/>
                      <w:kern w:val="0"/>
                      <w:sz w:val="20"/>
                    </w:rPr>
                  </w:pPr>
                  <w:r w:rsidRPr="00C769EC">
                    <w:rPr>
                      <w:rFonts w:hAnsi="標楷體" w:cs="Arial"/>
                      <w:kern w:val="0"/>
                      <w:sz w:val="20"/>
                    </w:rPr>
                    <w:t>民國</w:t>
                  </w:r>
                  <w:r w:rsidRPr="00C769EC">
                    <w:rPr>
                      <w:rFonts w:hAnsi="標楷體" w:cs="Arial" w:hint="eastAsia"/>
                      <w:kern w:val="0"/>
                      <w:sz w:val="20"/>
                    </w:rPr>
                    <w:t>104</w:t>
                  </w:r>
                  <w:r w:rsidRPr="00C769EC">
                    <w:rPr>
                      <w:rFonts w:hAnsi="標楷體" w:cs="Arial"/>
                      <w:kern w:val="0"/>
                      <w:sz w:val="20"/>
                    </w:rPr>
                    <w:t>年12月31日</w:t>
                  </w:r>
                </w:p>
              </w:tc>
              <w:tc>
                <w:tcPr>
                  <w:tcW w:w="1150" w:type="dxa"/>
                  <w:tcBorders>
                    <w:top w:val="single" w:sz="4" w:space="0" w:color="auto"/>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single" w:sz="4" w:space="0" w:color="auto"/>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single" w:sz="4" w:space="0" w:color="auto"/>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ind w:left="200" w:hanging="200"/>
                    <w:rPr>
                      <w:rFonts w:hAnsi="標楷體" w:cs="Arial"/>
                      <w:kern w:val="0"/>
                      <w:sz w:val="20"/>
                      <w:u w:val="single"/>
                    </w:rPr>
                  </w:pPr>
                  <w:r w:rsidRPr="00C769EC">
                    <w:rPr>
                      <w:rFonts w:hAnsi="標楷體" w:cs="Arial"/>
                      <w:kern w:val="0"/>
                      <w:sz w:val="20"/>
                      <w:u w:val="single"/>
                    </w:rPr>
                    <w:t>資產</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5A7F9E">
                  <w:pPr>
                    <w:spacing w:line="220" w:lineRule="exact"/>
                    <w:rPr>
                      <w:rFonts w:hAnsi="標楷體"/>
                      <w:kern w:val="0"/>
                      <w:sz w:val="20"/>
                    </w:rPr>
                  </w:pPr>
                  <w:proofErr w:type="gramStart"/>
                  <w:r w:rsidRPr="00C769EC">
                    <w:rPr>
                      <w:rFonts w:hAnsi="標楷體"/>
                      <w:kern w:val="0"/>
                      <w:sz w:val="20"/>
                    </w:rPr>
                    <w:t>持有供交易之金</w:t>
                  </w:r>
                  <w:proofErr w:type="gramEnd"/>
                  <w:r w:rsidRPr="00C769EC">
                    <w:rPr>
                      <w:rFonts w:hAnsi="標楷體"/>
                      <w:kern w:val="0"/>
                      <w:sz w:val="20"/>
                    </w:rPr>
                    <w:t>融資產</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5A7F9E">
                  <w:pPr>
                    <w:widowControl/>
                    <w:snapToGrid w:val="0"/>
                    <w:spacing w:line="240" w:lineRule="atLeast"/>
                    <w:ind w:left="160" w:hanging="160"/>
                    <w:rPr>
                      <w:rFonts w:hAnsi="標楷體"/>
                      <w:kern w:val="0"/>
                      <w:sz w:val="20"/>
                    </w:rPr>
                  </w:pPr>
                  <w:r w:rsidRPr="00C769EC">
                    <w:rPr>
                      <w:rFonts w:hAnsi="標楷體"/>
                      <w:kern w:val="0"/>
                      <w:sz w:val="20"/>
                    </w:rPr>
                    <w:t>原始認列時指定透過損益按公允價值衡量之金融資產</w:t>
                  </w:r>
                </w:p>
              </w:tc>
              <w:tc>
                <w:tcPr>
                  <w:tcW w:w="1150" w:type="dxa"/>
                  <w:tcBorders>
                    <w:top w:val="nil"/>
                    <w:bottom w:val="nil"/>
                    <w:right w:val="single" w:sz="4" w:space="0" w:color="auto"/>
                  </w:tcBorders>
                </w:tcPr>
                <w:p w:rsidR="00FB3E46" w:rsidRPr="00C769EC" w:rsidRDefault="00FB3E46" w:rsidP="00D54EB6">
                  <w:pPr>
                    <w:spacing w:line="220" w:lineRule="exact"/>
                    <w:ind w:left="200" w:rightChars="47" w:right="113" w:hangingChars="100" w:hanging="200"/>
                    <w:jc w:val="both"/>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spacing w:line="220" w:lineRule="exact"/>
                    <w:ind w:left="200" w:rightChars="47" w:right="113" w:hangingChars="100" w:hanging="200"/>
                    <w:jc w:val="both"/>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spacing w:line="220" w:lineRule="exact"/>
                    <w:ind w:left="200" w:rightChars="47" w:right="113" w:hangingChars="100" w:hanging="200"/>
                    <w:jc w:val="both"/>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spacing w:line="220" w:lineRule="exact"/>
                    <w:ind w:left="200" w:rightChars="47" w:right="113" w:hangingChars="100" w:hanging="200"/>
                    <w:jc w:val="both"/>
                    <w:rPr>
                      <w:rFonts w:hAnsi="標楷體"/>
                      <w:kern w:val="0"/>
                      <w:sz w:val="20"/>
                    </w:rPr>
                  </w:pPr>
                  <w:r w:rsidRPr="00C769EC">
                    <w:rPr>
                      <w:rFonts w:hAnsi="標楷體"/>
                      <w:kern w:val="0"/>
                      <w:sz w:val="20"/>
                    </w:rPr>
                    <w:t>備供出售金融資產</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spacing w:line="220" w:lineRule="exact"/>
                    <w:ind w:left="200" w:rightChars="47" w:right="113" w:hangingChars="100" w:hanging="200"/>
                    <w:jc w:val="both"/>
                    <w:rPr>
                      <w:rFonts w:hAnsi="標楷體"/>
                      <w:kern w:val="0"/>
                      <w:sz w:val="20"/>
                    </w:rPr>
                  </w:pPr>
                  <w:r w:rsidRPr="00C769EC">
                    <w:rPr>
                      <w:rFonts w:hAnsi="標楷體"/>
                      <w:kern w:val="0"/>
                      <w:sz w:val="20"/>
                    </w:rPr>
                    <w:t>避險之衍生金融資產</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ind w:left="160" w:hanging="160"/>
                    <w:rPr>
                      <w:rFonts w:hAnsi="標楷體" w:cs="Arial"/>
                      <w:kern w:val="0"/>
                      <w:sz w:val="20"/>
                      <w:u w:val="single"/>
                    </w:rPr>
                  </w:pPr>
                  <w:r w:rsidRPr="00C769EC">
                    <w:rPr>
                      <w:rFonts w:hAnsi="標楷體" w:cs="Arial"/>
                      <w:kern w:val="0"/>
                      <w:sz w:val="20"/>
                      <w:u w:val="single"/>
                    </w:rPr>
                    <w:t>負債</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5A7F9E">
                  <w:pPr>
                    <w:widowControl/>
                    <w:snapToGrid w:val="0"/>
                    <w:spacing w:line="240" w:lineRule="atLeast"/>
                    <w:ind w:left="160" w:hanging="160"/>
                    <w:rPr>
                      <w:rFonts w:hAnsi="標楷體" w:cs="Arial"/>
                      <w:kern w:val="0"/>
                      <w:sz w:val="20"/>
                    </w:rPr>
                  </w:pPr>
                  <w:r w:rsidRPr="00C769EC">
                    <w:rPr>
                      <w:rFonts w:hAnsi="標楷體"/>
                      <w:kern w:val="0"/>
                      <w:sz w:val="20"/>
                    </w:rPr>
                    <w:t>原始認列時指定透過損益按公允價值衡量之金融負債</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rPr>
                      <w:rFonts w:hAnsi="標楷體" w:cs="Arial"/>
                      <w:b/>
                      <w:kern w:val="0"/>
                      <w:sz w:val="20"/>
                    </w:rPr>
                  </w:pPr>
                  <w:r w:rsidRPr="00C769EC">
                    <w:rPr>
                      <w:rFonts w:hAnsi="標楷體"/>
                      <w:kern w:val="0"/>
                      <w:sz w:val="20"/>
                    </w:rPr>
                    <w:t>避險之衍生金融負債</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rPr>
                      <w:rFonts w:hAnsi="標楷體" w:cs="Arial"/>
                      <w:b/>
                      <w:kern w:val="0"/>
                      <w:sz w:val="20"/>
                    </w:rPr>
                  </w:pP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C44367">
                  <w:pPr>
                    <w:widowControl/>
                    <w:snapToGrid w:val="0"/>
                    <w:spacing w:line="240" w:lineRule="atLeast"/>
                    <w:rPr>
                      <w:rFonts w:hAnsi="標楷體" w:cs="Arial"/>
                      <w:kern w:val="0"/>
                      <w:sz w:val="20"/>
                    </w:rPr>
                  </w:pPr>
                  <w:r w:rsidRPr="00C769EC">
                    <w:rPr>
                      <w:rFonts w:hAnsi="標楷體" w:cs="Arial"/>
                      <w:kern w:val="0"/>
                      <w:sz w:val="20"/>
                    </w:rPr>
                    <w:t>民國</w:t>
                  </w:r>
                  <w:r w:rsidRPr="00C769EC">
                    <w:rPr>
                      <w:rFonts w:hAnsi="標楷體" w:cs="Arial" w:hint="eastAsia"/>
                      <w:kern w:val="0"/>
                      <w:sz w:val="20"/>
                    </w:rPr>
                    <w:t>103</w:t>
                  </w:r>
                  <w:r w:rsidRPr="00C769EC">
                    <w:rPr>
                      <w:rFonts w:hAnsi="標楷體" w:cs="Arial"/>
                      <w:kern w:val="0"/>
                      <w:sz w:val="20"/>
                    </w:rPr>
                    <w:t>年12月31日</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rPr>
                <w:trHeight w:val="241"/>
              </w:trPr>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ind w:left="200" w:hanging="200"/>
                    <w:rPr>
                      <w:rFonts w:hAnsi="標楷體" w:cs="Arial"/>
                      <w:kern w:val="0"/>
                      <w:sz w:val="20"/>
                      <w:u w:val="single"/>
                    </w:rPr>
                  </w:pPr>
                  <w:r w:rsidRPr="00C769EC">
                    <w:rPr>
                      <w:rFonts w:hAnsi="標楷體" w:cs="Arial"/>
                      <w:kern w:val="0"/>
                      <w:sz w:val="20"/>
                      <w:u w:val="single"/>
                    </w:rPr>
                    <w:t>資產</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ind w:left="160" w:hanging="160"/>
                    <w:rPr>
                      <w:rFonts w:hAnsi="標楷體" w:cs="Arial"/>
                      <w:kern w:val="0"/>
                      <w:sz w:val="20"/>
                    </w:rPr>
                  </w:pPr>
                  <w:proofErr w:type="gramStart"/>
                  <w:r w:rsidRPr="00C769EC">
                    <w:rPr>
                      <w:rFonts w:hAnsi="標楷體"/>
                      <w:kern w:val="0"/>
                      <w:sz w:val="20"/>
                    </w:rPr>
                    <w:t>持有供交易之金</w:t>
                  </w:r>
                  <w:proofErr w:type="gramEnd"/>
                  <w:r w:rsidRPr="00C769EC">
                    <w:rPr>
                      <w:rFonts w:hAnsi="標楷體"/>
                      <w:kern w:val="0"/>
                      <w:sz w:val="20"/>
                    </w:rPr>
                    <w:t>融資產</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ind w:left="160" w:hanging="160"/>
                    <w:rPr>
                      <w:rFonts w:hAnsi="標楷體" w:cs="Arial"/>
                      <w:kern w:val="0"/>
                      <w:sz w:val="20"/>
                    </w:rPr>
                  </w:pPr>
                  <w:r w:rsidRPr="00C769EC">
                    <w:rPr>
                      <w:rFonts w:hAnsi="標楷體"/>
                      <w:kern w:val="0"/>
                      <w:sz w:val="20"/>
                    </w:rPr>
                    <w:t>原始認列時指定透過損益按公允價值衡量之金融資產</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ind w:left="160" w:hanging="160"/>
                    <w:rPr>
                      <w:rFonts w:hAnsi="標楷體" w:cs="Arial"/>
                      <w:kern w:val="0"/>
                      <w:sz w:val="20"/>
                    </w:rPr>
                  </w:pPr>
                  <w:r w:rsidRPr="00C769EC">
                    <w:rPr>
                      <w:rFonts w:hAnsi="標楷體"/>
                      <w:kern w:val="0"/>
                      <w:sz w:val="20"/>
                    </w:rPr>
                    <w:t>備供出售金融資產</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ind w:left="160" w:hanging="160"/>
                    <w:rPr>
                      <w:rFonts w:hAnsi="標楷體" w:cs="Arial"/>
                      <w:kern w:val="0"/>
                      <w:sz w:val="20"/>
                    </w:rPr>
                  </w:pPr>
                  <w:r w:rsidRPr="00C769EC">
                    <w:rPr>
                      <w:rFonts w:hAnsi="標楷體"/>
                      <w:kern w:val="0"/>
                      <w:sz w:val="20"/>
                    </w:rPr>
                    <w:t>避險之衍生金融資產</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ind w:left="160" w:hanging="160"/>
                    <w:rPr>
                      <w:rFonts w:hAnsi="標楷體" w:cs="Arial"/>
                      <w:kern w:val="0"/>
                      <w:sz w:val="20"/>
                      <w:u w:val="single"/>
                    </w:rPr>
                  </w:pPr>
                  <w:r w:rsidRPr="00C769EC">
                    <w:rPr>
                      <w:rFonts w:hAnsi="標楷體" w:cs="Arial"/>
                      <w:kern w:val="0"/>
                      <w:sz w:val="20"/>
                      <w:u w:val="single"/>
                    </w:rPr>
                    <w:t>負債</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nil"/>
                    <w:right w:val="single" w:sz="4" w:space="0" w:color="auto"/>
                  </w:tcBorders>
                  <w:shd w:val="clear" w:color="auto" w:fill="auto"/>
                  <w:noWrap/>
                  <w:vAlign w:val="center"/>
                </w:tcPr>
                <w:p w:rsidR="00FB3E46" w:rsidRPr="00C769EC" w:rsidRDefault="00FB3E46" w:rsidP="00D54EB6">
                  <w:pPr>
                    <w:widowControl/>
                    <w:snapToGrid w:val="0"/>
                    <w:spacing w:line="240" w:lineRule="atLeast"/>
                    <w:ind w:left="160" w:hanging="160"/>
                    <w:rPr>
                      <w:rFonts w:hAnsi="標楷體"/>
                      <w:kern w:val="0"/>
                      <w:sz w:val="20"/>
                    </w:rPr>
                  </w:pPr>
                  <w:r w:rsidRPr="00C769EC">
                    <w:rPr>
                      <w:rFonts w:hAnsi="標楷體"/>
                      <w:kern w:val="0"/>
                      <w:sz w:val="20"/>
                    </w:rPr>
                    <w:t>原始認列時指定透過損益按公允價值衡量之金融負債</w:t>
                  </w:r>
                </w:p>
              </w:tc>
              <w:tc>
                <w:tcPr>
                  <w:tcW w:w="1150"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nil"/>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nil"/>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r w:rsidR="00FB3E46" w:rsidRPr="00C769EC" w:rsidTr="00FB3E46">
              <w:tc>
                <w:tcPr>
                  <w:tcW w:w="2508" w:type="dxa"/>
                  <w:tcBorders>
                    <w:top w:val="nil"/>
                    <w:bottom w:val="single" w:sz="4" w:space="0" w:color="auto"/>
                    <w:right w:val="single" w:sz="4" w:space="0" w:color="auto"/>
                  </w:tcBorders>
                  <w:shd w:val="clear" w:color="auto" w:fill="auto"/>
                  <w:noWrap/>
                  <w:vAlign w:val="center"/>
                </w:tcPr>
                <w:p w:rsidR="00FB3E46" w:rsidRPr="00C769EC" w:rsidRDefault="00FB3E46" w:rsidP="00D54EB6">
                  <w:pPr>
                    <w:widowControl/>
                    <w:snapToGrid w:val="0"/>
                    <w:spacing w:line="240" w:lineRule="atLeast"/>
                    <w:ind w:left="160" w:hanging="160"/>
                    <w:rPr>
                      <w:rFonts w:hAnsi="標楷體"/>
                      <w:kern w:val="0"/>
                      <w:sz w:val="20"/>
                    </w:rPr>
                  </w:pPr>
                  <w:r w:rsidRPr="00C769EC">
                    <w:rPr>
                      <w:rFonts w:hAnsi="標楷體"/>
                      <w:kern w:val="0"/>
                      <w:sz w:val="20"/>
                    </w:rPr>
                    <w:t>避險之衍生金融負債</w:t>
                  </w:r>
                </w:p>
              </w:tc>
              <w:tc>
                <w:tcPr>
                  <w:tcW w:w="1150" w:type="dxa"/>
                  <w:tcBorders>
                    <w:top w:val="nil"/>
                    <w:bottom w:val="single" w:sz="4" w:space="0" w:color="auto"/>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bottom w:val="single" w:sz="4" w:space="0" w:color="auto"/>
                    <w:right w:val="single" w:sz="4" w:space="0" w:color="auto"/>
                  </w:tcBorders>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c>
                <w:tcPr>
                  <w:tcW w:w="1276" w:type="dxa"/>
                  <w:tcBorders>
                    <w:top w:val="nil"/>
                    <w:left w:val="single" w:sz="4" w:space="0" w:color="auto"/>
                    <w:bottom w:val="single" w:sz="4" w:space="0" w:color="auto"/>
                  </w:tcBorders>
                  <w:shd w:val="clear" w:color="auto" w:fill="auto"/>
                  <w:noWrap/>
                  <w:vAlign w:val="bottom"/>
                </w:tcPr>
                <w:p w:rsidR="00FB3E46" w:rsidRPr="00C769EC" w:rsidRDefault="00FB3E46" w:rsidP="00D54EB6">
                  <w:pPr>
                    <w:widowControl/>
                    <w:wordWrap w:val="0"/>
                    <w:snapToGrid w:val="0"/>
                    <w:spacing w:line="240" w:lineRule="atLeast"/>
                    <w:ind w:right="73"/>
                    <w:jc w:val="right"/>
                    <w:rPr>
                      <w:rFonts w:hAnsi="標楷體" w:cs="Arial"/>
                      <w:kern w:val="0"/>
                      <w:sz w:val="20"/>
                    </w:rPr>
                  </w:pPr>
                </w:p>
              </w:tc>
            </w:tr>
          </w:tbl>
          <w:p w:rsidR="00B5393B" w:rsidRPr="00C769EC" w:rsidRDefault="00B5393B" w:rsidP="00D54EB6">
            <w:pPr>
              <w:spacing w:before="120" w:after="120"/>
              <w:ind w:left="1520"/>
              <w:jc w:val="both"/>
              <w:outlineLvl w:val="3"/>
              <w:rPr>
                <w:rFonts w:hAnsi="標楷體" w:cs="Arial"/>
                <w:szCs w:val="24"/>
                <w:u w:val="single"/>
              </w:rPr>
            </w:pPr>
          </w:p>
        </w:tc>
      </w:tr>
      <w:tr w:rsidR="00B5393B" w:rsidRPr="00C769EC" w:rsidTr="00A37C7D">
        <w:tc>
          <w:tcPr>
            <w:tcW w:w="1260" w:type="dxa"/>
          </w:tcPr>
          <w:p w:rsidR="00B5393B" w:rsidRPr="00C769EC" w:rsidRDefault="00B5393B" w:rsidP="008A7A11">
            <w:pPr>
              <w:spacing w:line="500" w:lineRule="exact"/>
              <w:rPr>
                <w:rFonts w:hAnsi="標楷體" w:cs="Arial"/>
                <w:sz w:val="16"/>
                <w:szCs w:val="16"/>
              </w:rPr>
            </w:pPr>
          </w:p>
        </w:tc>
        <w:tc>
          <w:tcPr>
            <w:tcW w:w="9653" w:type="dxa"/>
          </w:tcPr>
          <w:p w:rsidR="00B5393B" w:rsidRPr="00C769EC" w:rsidRDefault="00072156" w:rsidP="008A7A11">
            <w:pPr>
              <w:spacing w:before="120" w:after="120" w:line="500" w:lineRule="exact"/>
              <w:jc w:val="both"/>
              <w:outlineLvl w:val="3"/>
              <w:rPr>
                <w:rFonts w:hAnsi="標楷體"/>
                <w:sz w:val="32"/>
                <w:szCs w:val="32"/>
              </w:rPr>
            </w:pPr>
            <w:r w:rsidRPr="00C769EC">
              <w:rPr>
                <w:rFonts w:hAnsi="標楷體"/>
                <w:sz w:val="32"/>
                <w:szCs w:val="32"/>
              </w:rPr>
              <w:t>本集團</w:t>
            </w:r>
            <w:r w:rsidR="00B5393B" w:rsidRPr="00C769EC">
              <w:rPr>
                <w:rFonts w:hAnsi="標楷體"/>
                <w:sz w:val="32"/>
                <w:szCs w:val="32"/>
              </w:rPr>
              <w:t>有利及不利變動係指公允價值之波動，而公允價值係根據不同程度之不可觀察之投入參數，以評價技術計算而得。</w:t>
            </w:r>
          </w:p>
          <w:p w:rsidR="00B5393B" w:rsidRPr="00C769EC" w:rsidRDefault="00B5393B" w:rsidP="008A7A11">
            <w:pPr>
              <w:spacing w:before="120" w:after="120" w:line="500" w:lineRule="exact"/>
              <w:jc w:val="both"/>
              <w:outlineLvl w:val="3"/>
              <w:rPr>
                <w:rFonts w:hAnsi="標楷體"/>
              </w:rPr>
            </w:pPr>
            <w:r w:rsidRPr="00C769EC">
              <w:rPr>
                <w:rFonts w:hAnsi="標楷體"/>
                <w:sz w:val="32"/>
                <w:szCs w:val="32"/>
              </w:rPr>
              <w:t>若金融工具之公允價值受一個以上</w:t>
            </w:r>
            <w:r w:rsidRPr="00C769EC">
              <w:rPr>
                <w:rFonts w:hAnsi="標楷體" w:hint="eastAsia"/>
                <w:sz w:val="32"/>
                <w:szCs w:val="32"/>
              </w:rPr>
              <w:t>輸入值</w:t>
            </w:r>
            <w:r w:rsidRPr="00C769EC">
              <w:rPr>
                <w:rFonts w:hAnsi="標楷體"/>
                <w:sz w:val="32"/>
                <w:szCs w:val="32"/>
              </w:rPr>
              <w:t>之所影響，上表僅反應單一</w:t>
            </w:r>
            <w:r w:rsidRPr="00C769EC">
              <w:rPr>
                <w:rFonts w:hAnsi="標楷體" w:hint="eastAsia"/>
                <w:sz w:val="32"/>
                <w:szCs w:val="32"/>
              </w:rPr>
              <w:t>輸入值</w:t>
            </w:r>
            <w:r w:rsidRPr="00C769EC">
              <w:rPr>
                <w:rFonts w:hAnsi="標楷體"/>
                <w:sz w:val="32"/>
                <w:szCs w:val="32"/>
              </w:rPr>
              <w:t>變動所產生之影響，並不將</w:t>
            </w:r>
            <w:r w:rsidRPr="00C769EC">
              <w:rPr>
                <w:rFonts w:hAnsi="標楷體" w:hint="eastAsia"/>
                <w:sz w:val="32"/>
                <w:szCs w:val="32"/>
              </w:rPr>
              <w:t>輸入值</w:t>
            </w:r>
            <w:r w:rsidRPr="00C769EC">
              <w:rPr>
                <w:rFonts w:hAnsi="標楷體"/>
                <w:sz w:val="32"/>
                <w:szCs w:val="32"/>
              </w:rPr>
              <w:t>間之相關性及變異性納入考慮。</w:t>
            </w:r>
          </w:p>
        </w:tc>
      </w:tr>
    </w:tbl>
    <w:p w:rsidR="00C769EC" w:rsidRPr="00C769EC" w:rsidRDefault="00C769EC" w:rsidP="008A7A11">
      <w:pPr>
        <w:pStyle w:val="afb"/>
        <w:numPr>
          <w:ilvl w:val="0"/>
          <w:numId w:val="26"/>
        </w:numPr>
        <w:spacing w:line="500" w:lineRule="exact"/>
        <w:ind w:leftChars="0"/>
        <w:rPr>
          <w:rFonts w:hAnsi="標楷體"/>
          <w:sz w:val="32"/>
          <w:szCs w:val="32"/>
        </w:rPr>
      </w:pPr>
      <w:r w:rsidRPr="00C769EC">
        <w:rPr>
          <w:rFonts w:hAnsi="標楷體" w:hint="eastAsia"/>
          <w:sz w:val="32"/>
          <w:szCs w:val="32"/>
        </w:rPr>
        <w:t>結論及實務提醒事項</w:t>
      </w:r>
    </w:p>
    <w:p w:rsidR="00C769EC" w:rsidRPr="00C769EC" w:rsidRDefault="00C769EC" w:rsidP="008A7A11">
      <w:pPr>
        <w:pStyle w:val="afb"/>
        <w:spacing w:line="500" w:lineRule="exact"/>
        <w:ind w:leftChars="0" w:left="487"/>
        <w:rPr>
          <w:rFonts w:hAnsi="標楷體"/>
          <w:sz w:val="32"/>
          <w:szCs w:val="32"/>
        </w:rPr>
      </w:pPr>
      <w:r w:rsidRPr="00C769EC">
        <w:rPr>
          <w:rFonts w:hAnsi="標楷體" w:hint="eastAsia"/>
          <w:sz w:val="32"/>
          <w:szCs w:val="32"/>
        </w:rPr>
        <w:t>公允價值衡量之揭露需依據每一企業實際所採用之模型、假設及輸入值等予以揭露，以上範本係作為參考之用途，並未包含所有可能情況。</w:t>
      </w:r>
    </w:p>
    <w:p w:rsidR="00C769EC" w:rsidRPr="00E53E66" w:rsidRDefault="00C769EC" w:rsidP="008A7A11">
      <w:pPr>
        <w:pStyle w:val="afb"/>
        <w:numPr>
          <w:ilvl w:val="0"/>
          <w:numId w:val="26"/>
        </w:numPr>
        <w:spacing w:line="500" w:lineRule="exact"/>
        <w:ind w:leftChars="0"/>
        <w:rPr>
          <w:rFonts w:hAnsi="標楷體"/>
          <w:b/>
          <w:sz w:val="32"/>
          <w:szCs w:val="32"/>
        </w:rPr>
      </w:pPr>
      <w:r w:rsidRPr="00E53E66">
        <w:rPr>
          <w:rFonts w:hAnsi="標楷體" w:hint="eastAsia"/>
          <w:b/>
          <w:sz w:val="32"/>
          <w:szCs w:val="32"/>
        </w:rPr>
        <w:t>資料來源</w:t>
      </w:r>
    </w:p>
    <w:p w:rsidR="00C769EC" w:rsidRPr="00C769EC" w:rsidRDefault="00C769EC" w:rsidP="008A7A11">
      <w:pPr>
        <w:pStyle w:val="afb"/>
        <w:spacing w:before="100" w:beforeAutospacing="1" w:after="100" w:afterAutospacing="1" w:line="500" w:lineRule="exact"/>
        <w:ind w:leftChars="304" w:left="1092" w:hangingChars="113" w:hanging="362"/>
        <w:rPr>
          <w:rFonts w:hAnsi="標楷體" w:cstheme="minorBidi"/>
          <w:sz w:val="32"/>
          <w:szCs w:val="32"/>
        </w:rPr>
      </w:pPr>
      <w:r w:rsidRPr="00C769EC">
        <w:rPr>
          <w:rFonts w:hAnsi="標楷體" w:hint="eastAsia"/>
          <w:sz w:val="32"/>
          <w:szCs w:val="32"/>
        </w:rPr>
        <w:lastRenderedPageBreak/>
        <w:t>1.</w:t>
      </w:r>
      <w:r w:rsidRPr="00C769EC">
        <w:rPr>
          <w:rFonts w:hAnsi="標楷體"/>
          <w:sz w:val="32"/>
          <w:szCs w:val="32"/>
        </w:rPr>
        <w:t>IFRS 13「公</w:t>
      </w:r>
      <w:r w:rsidRPr="00C769EC">
        <w:rPr>
          <w:rFonts w:hAnsi="標楷體" w:cstheme="minorBidi"/>
          <w:sz w:val="32"/>
          <w:szCs w:val="32"/>
        </w:rPr>
        <w:t>允價值衡量」</w:t>
      </w:r>
      <w:r w:rsidRPr="00C769EC">
        <w:rPr>
          <w:rFonts w:hAnsi="標楷體" w:cstheme="minorBidi" w:hint="eastAsia"/>
          <w:sz w:val="32"/>
          <w:szCs w:val="32"/>
        </w:rPr>
        <w:t>。</w:t>
      </w:r>
    </w:p>
    <w:p w:rsidR="00C769EC" w:rsidRPr="00C769EC" w:rsidRDefault="00C769EC" w:rsidP="008A7A11">
      <w:pPr>
        <w:pStyle w:val="afb"/>
        <w:spacing w:before="100" w:beforeAutospacing="1" w:after="100" w:afterAutospacing="1" w:line="500" w:lineRule="exact"/>
        <w:ind w:leftChars="304" w:left="1092" w:hangingChars="113" w:hanging="362"/>
        <w:rPr>
          <w:rFonts w:hAnsi="標楷體"/>
          <w:sz w:val="32"/>
          <w:szCs w:val="32"/>
        </w:rPr>
      </w:pPr>
      <w:r w:rsidRPr="00C769EC">
        <w:rPr>
          <w:rFonts w:hAnsi="標楷體" w:cstheme="minorBidi" w:hint="eastAsia"/>
          <w:sz w:val="32"/>
          <w:szCs w:val="32"/>
        </w:rPr>
        <w:t>2.</w:t>
      </w:r>
      <w:r w:rsidRPr="00C769EC">
        <w:rPr>
          <w:rFonts w:hAnsi="標楷體" w:hint="eastAsia"/>
          <w:sz w:val="32"/>
          <w:szCs w:val="32"/>
        </w:rPr>
        <w:t xml:space="preserve">PwC Illustrative IFRS consolidated financial statements for </w:t>
      </w:r>
      <w:r w:rsidRPr="00C769EC">
        <w:rPr>
          <w:rFonts w:hAnsi="標楷體"/>
          <w:sz w:val="32"/>
          <w:szCs w:val="32"/>
        </w:rPr>
        <w:t>201</w:t>
      </w:r>
      <w:r w:rsidRPr="00C769EC">
        <w:rPr>
          <w:rFonts w:hAnsi="標楷體" w:hint="eastAsia"/>
          <w:sz w:val="32"/>
          <w:szCs w:val="32"/>
        </w:rPr>
        <w:t>3 year ends。</w:t>
      </w:r>
    </w:p>
    <w:p w:rsidR="00C769EC" w:rsidRPr="00E53E66" w:rsidRDefault="00C769EC" w:rsidP="008A7A11">
      <w:pPr>
        <w:pStyle w:val="afb"/>
        <w:numPr>
          <w:ilvl w:val="0"/>
          <w:numId w:val="26"/>
        </w:numPr>
        <w:spacing w:line="500" w:lineRule="exact"/>
        <w:ind w:leftChars="0"/>
        <w:rPr>
          <w:rFonts w:hAnsi="標楷體"/>
          <w:b/>
          <w:sz w:val="32"/>
          <w:szCs w:val="32"/>
        </w:rPr>
      </w:pPr>
      <w:r w:rsidRPr="00E53E66">
        <w:rPr>
          <w:rFonts w:hAnsi="標楷體" w:hint="eastAsia"/>
          <w:b/>
          <w:sz w:val="32"/>
          <w:szCs w:val="32"/>
        </w:rPr>
        <w:t>其他</w:t>
      </w:r>
      <w:r w:rsidR="008F4755" w:rsidRPr="00E53E66">
        <w:rPr>
          <w:rFonts w:hAnsi="標楷體" w:hint="eastAsia"/>
          <w:b/>
          <w:sz w:val="32"/>
          <w:szCs w:val="32"/>
        </w:rPr>
        <w:t>：</w:t>
      </w:r>
      <w:r w:rsidR="003D75BB" w:rsidRPr="00AA4BB2">
        <w:rPr>
          <w:rFonts w:hAnsi="標楷體" w:hint="eastAsia"/>
          <w:sz w:val="32"/>
          <w:szCs w:val="32"/>
        </w:rPr>
        <w:t>宣導會講義及</w:t>
      </w:r>
      <w:proofErr w:type="spellStart"/>
      <w:r w:rsidR="003D75BB" w:rsidRPr="00AA4BB2">
        <w:rPr>
          <w:rFonts w:hAnsi="標楷體" w:hint="eastAsia"/>
          <w:sz w:val="32"/>
          <w:szCs w:val="32"/>
        </w:rPr>
        <w:t>Webpro</w:t>
      </w:r>
      <w:proofErr w:type="spellEnd"/>
      <w:r w:rsidR="003D75BB" w:rsidRPr="00AA4BB2">
        <w:rPr>
          <w:rFonts w:hAnsi="標楷體" w:hint="eastAsia"/>
          <w:sz w:val="32"/>
          <w:szCs w:val="32"/>
        </w:rPr>
        <w:t>影音連結</w:t>
      </w:r>
      <w:r w:rsidR="008F4755" w:rsidRPr="00AA4BB2">
        <w:rPr>
          <w:rFonts w:hAnsi="標楷體" w:hint="eastAsia"/>
          <w:sz w:val="32"/>
          <w:szCs w:val="32"/>
        </w:rPr>
        <w:t>。</w:t>
      </w:r>
    </w:p>
    <w:p w:rsidR="00B5393B" w:rsidRPr="00C769EC" w:rsidRDefault="00B5393B" w:rsidP="00E43702">
      <w:pPr>
        <w:pStyle w:val="a2"/>
        <w:rPr>
          <w:rFonts w:hAnsi="標楷體"/>
        </w:rPr>
      </w:pPr>
    </w:p>
    <w:sectPr w:rsidR="00B5393B" w:rsidRPr="00C769EC" w:rsidSect="001C7FA0">
      <w:footerReference w:type="default" r:id="rId8"/>
      <w:pgSz w:w="11906" w:h="16838" w:code="9"/>
      <w:pgMar w:top="1474" w:right="1021" w:bottom="1474" w:left="1021" w:header="567" w:footer="567"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A8" w:rsidRDefault="00E209A8">
      <w:r>
        <w:separator/>
      </w:r>
    </w:p>
  </w:endnote>
  <w:endnote w:type="continuationSeparator" w:id="0">
    <w:p w:rsidR="00E209A8" w:rsidRDefault="00E20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TB7CF9C5CtCID-WinCharSetFFFF-H">
    <w:altName w:val="富漢通粗毛楷"/>
    <w:panose1 w:val="00000000000000000000"/>
    <w:charset w:val="88"/>
    <w:family w:val="auto"/>
    <w:notTrueType/>
    <w:pitch w:val="default"/>
    <w:sig w:usb0="00000001" w:usb1="080F0000" w:usb2="00000010" w:usb3="00000000" w:csb0="0016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6652"/>
      <w:docPartObj>
        <w:docPartGallery w:val="Page Numbers (Bottom of Page)"/>
        <w:docPartUnique/>
      </w:docPartObj>
    </w:sdtPr>
    <w:sdtContent>
      <w:p w:rsidR="007B1B3D" w:rsidRDefault="00507352">
        <w:pPr>
          <w:pStyle w:val="a9"/>
          <w:jc w:val="right"/>
        </w:pPr>
        <w:r w:rsidRPr="00507352">
          <w:fldChar w:fldCharType="begin"/>
        </w:r>
        <w:r w:rsidR="007B1B3D">
          <w:instrText xml:space="preserve"> PAGE   \* MERGEFORMAT </w:instrText>
        </w:r>
        <w:r w:rsidRPr="00507352">
          <w:fldChar w:fldCharType="separate"/>
        </w:r>
        <w:r w:rsidR="00AF370B" w:rsidRPr="00AF370B">
          <w:rPr>
            <w:noProof/>
            <w:lang w:val="zh-TW"/>
          </w:rPr>
          <w:t>1</w:t>
        </w:r>
        <w:r>
          <w:rPr>
            <w:noProof/>
            <w:lang w:val="zh-TW"/>
          </w:rPr>
          <w:fldChar w:fldCharType="end"/>
        </w:r>
      </w:p>
    </w:sdtContent>
  </w:sdt>
  <w:p w:rsidR="007B1B3D" w:rsidRDefault="007B1B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A8" w:rsidRDefault="00E209A8">
      <w:r>
        <w:separator/>
      </w:r>
    </w:p>
  </w:footnote>
  <w:footnote w:type="continuationSeparator" w:id="0">
    <w:p w:rsidR="00E209A8" w:rsidRDefault="00E209A8">
      <w:r>
        <w:continuationSeparator/>
      </w:r>
    </w:p>
  </w:footnote>
  <w:footnote w:id="1">
    <w:p w:rsidR="007B1B3D" w:rsidRPr="00A37C7D" w:rsidRDefault="007B1B3D" w:rsidP="00B5393B">
      <w:pPr>
        <w:pStyle w:val="af6"/>
        <w:rPr>
          <w:rFonts w:ascii="標楷體" w:eastAsia="標楷體" w:hAnsi="標楷體"/>
          <w:i/>
          <w:color w:val="0070C0"/>
          <w:sz w:val="16"/>
          <w:szCs w:val="16"/>
        </w:rPr>
      </w:pPr>
      <w:r w:rsidRPr="00A37C7D">
        <w:rPr>
          <w:rStyle w:val="af8"/>
          <w:rFonts w:ascii="標楷體" w:hAnsi="標楷體"/>
          <w:i/>
          <w:color w:val="0070C0"/>
          <w:sz w:val="16"/>
          <w:szCs w:val="16"/>
        </w:rPr>
        <w:footnoteRef/>
      </w:r>
      <w:r w:rsidRPr="00A37C7D">
        <w:rPr>
          <w:rFonts w:ascii="標楷體" w:eastAsia="標楷體" w:hAnsi="標楷體"/>
          <w:i/>
          <w:color w:val="0070C0"/>
          <w:sz w:val="16"/>
          <w:szCs w:val="16"/>
        </w:rPr>
        <w:t xml:space="preserve"> </w:t>
      </w:r>
      <w:r w:rsidRPr="00A37C7D">
        <w:rPr>
          <w:rFonts w:ascii="標楷體" w:eastAsia="標楷體" w:hAnsi="標楷體" w:hint="eastAsia"/>
          <w:i/>
          <w:color w:val="0070C0"/>
          <w:sz w:val="16"/>
          <w:szCs w:val="16"/>
        </w:rPr>
        <w:t>此處係指以公允價值模式為後續衡量之投資性不動產。</w:t>
      </w:r>
    </w:p>
  </w:footnote>
  <w:footnote w:id="2">
    <w:p w:rsidR="007B1B3D" w:rsidRPr="00A37C7D" w:rsidRDefault="007B1B3D" w:rsidP="00B5393B">
      <w:pPr>
        <w:pStyle w:val="af6"/>
        <w:ind w:left="284" w:hanging="284"/>
        <w:rPr>
          <w:sz w:val="16"/>
          <w:szCs w:val="16"/>
        </w:rPr>
      </w:pPr>
      <w:r w:rsidRPr="00A37C7D">
        <w:rPr>
          <w:rStyle w:val="af8"/>
          <w:rFonts w:ascii="標楷體" w:hAnsi="標楷體"/>
          <w:i/>
          <w:color w:val="0070C0"/>
          <w:sz w:val="16"/>
          <w:szCs w:val="16"/>
        </w:rPr>
        <w:footnoteRef/>
      </w:r>
      <w:r w:rsidRPr="00A37C7D">
        <w:rPr>
          <w:rFonts w:ascii="標楷體" w:eastAsia="標楷體" w:hAnsi="標楷體" w:hint="eastAsia"/>
          <w:i/>
          <w:color w:val="0070C0"/>
          <w:sz w:val="16"/>
          <w:szCs w:val="16"/>
        </w:rPr>
        <w:t xml:space="preserve"> </w:t>
      </w:r>
      <w:r w:rsidRPr="00A37C7D">
        <w:rPr>
          <w:rStyle w:val="af8"/>
          <w:rFonts w:ascii="標楷體" w:hAnsi="標楷體"/>
          <w:i/>
          <w:color w:val="0070C0"/>
          <w:sz w:val="16"/>
          <w:szCs w:val="16"/>
          <w:vertAlign w:val="baseline"/>
        </w:rPr>
        <w:t>依金管會認可之國際財務報導準則第13號第c2及c3段，該準則應於初次適用之年度期間開始日推延適用，相關揭露規定無</w:t>
      </w:r>
      <w:r w:rsidRPr="00A37C7D">
        <w:rPr>
          <w:rStyle w:val="af8"/>
          <w:rFonts w:ascii="標楷體" w:hAnsi="標楷體" w:hint="eastAsia"/>
          <w:i/>
          <w:color w:val="0070C0"/>
          <w:sz w:val="16"/>
          <w:szCs w:val="16"/>
          <w:vertAlign w:val="baseline"/>
        </w:rPr>
        <w:t>須</w:t>
      </w:r>
      <w:r w:rsidRPr="00A37C7D">
        <w:rPr>
          <w:rStyle w:val="af8"/>
          <w:rFonts w:ascii="標楷體" w:hAnsi="標楷體"/>
          <w:i/>
          <w:color w:val="0070C0"/>
          <w:sz w:val="16"/>
          <w:szCs w:val="16"/>
          <w:vertAlign w:val="baseline"/>
        </w:rPr>
        <w:t>適用於初次適用該準則前之期間所提供之比較資訊</w:t>
      </w:r>
      <w:r w:rsidRPr="00A37C7D">
        <w:rPr>
          <w:rStyle w:val="af8"/>
          <w:rFonts w:ascii="Georgia" w:hAnsi="Georgia"/>
          <w:sz w:val="16"/>
          <w:szCs w:val="16"/>
          <w:vertAlign w:val="baseline"/>
        </w:rPr>
        <w:t>。</w:t>
      </w:r>
    </w:p>
  </w:footnote>
  <w:footnote w:id="3">
    <w:p w:rsidR="007B1B3D" w:rsidRPr="00676979" w:rsidRDefault="007B1B3D" w:rsidP="00A37C7D">
      <w:pPr>
        <w:pStyle w:val="af6"/>
        <w:ind w:left="142" w:hanging="142"/>
        <w:rPr>
          <w:rFonts w:ascii="Georgia" w:eastAsia="標楷體" w:hAnsi="Georgia" w:cs="TTB7CF9C5CtCID-WinCharSetFFFF-H"/>
          <w:i/>
          <w:color w:val="0070C0"/>
          <w:kern w:val="0"/>
          <w:sz w:val="16"/>
          <w:szCs w:val="16"/>
        </w:rPr>
      </w:pPr>
      <w:r w:rsidRPr="00676979">
        <w:rPr>
          <w:rStyle w:val="af8"/>
          <w:rFonts w:ascii="Georgia" w:hAnsi="Georgia"/>
          <w:i/>
          <w:color w:val="0070C0"/>
        </w:rPr>
        <w:footnoteRef/>
      </w:r>
      <w:r w:rsidRPr="00676979">
        <w:rPr>
          <w:rStyle w:val="af8"/>
          <w:i/>
          <w:color w:val="0070C0"/>
        </w:rPr>
        <w:t xml:space="preserve"> </w:t>
      </w:r>
      <w:r w:rsidRPr="00676979">
        <w:rPr>
          <w:rStyle w:val="af8"/>
          <w:rFonts w:ascii="Georgia" w:hAnsi="Georgia"/>
          <w:i/>
          <w:color w:val="0070C0"/>
          <w:sz w:val="16"/>
          <w:szCs w:val="16"/>
          <w:vertAlign w:val="baseline"/>
        </w:rPr>
        <w:t>根據經金管會認可之國際財務報導準則第</w:t>
      </w:r>
      <w:r w:rsidRPr="00676979">
        <w:rPr>
          <w:rStyle w:val="af8"/>
          <w:rFonts w:ascii="Georgia" w:hAnsi="Georgia"/>
          <w:i/>
          <w:color w:val="0070C0"/>
          <w:sz w:val="16"/>
          <w:szCs w:val="16"/>
          <w:vertAlign w:val="baseline"/>
        </w:rPr>
        <w:t>13</w:t>
      </w:r>
      <w:r w:rsidRPr="00676979">
        <w:rPr>
          <w:rStyle w:val="af8"/>
          <w:rFonts w:ascii="Georgia" w:hAnsi="Georgia"/>
          <w:i/>
          <w:color w:val="0070C0"/>
          <w:sz w:val="16"/>
          <w:szCs w:val="16"/>
          <w:vertAlign w:val="baseline"/>
        </w:rPr>
        <w:t>號第</w:t>
      </w:r>
      <w:r w:rsidRPr="00676979">
        <w:rPr>
          <w:rStyle w:val="af8"/>
          <w:rFonts w:ascii="Georgia" w:hAnsi="Georgia"/>
          <w:i/>
          <w:color w:val="0070C0"/>
          <w:sz w:val="16"/>
          <w:szCs w:val="16"/>
          <w:vertAlign w:val="baseline"/>
        </w:rPr>
        <w:t>93</w:t>
      </w:r>
      <w:r w:rsidRPr="00676979">
        <w:rPr>
          <w:rStyle w:val="af8"/>
          <w:rFonts w:ascii="Georgia" w:hAnsi="Georgia"/>
          <w:i/>
          <w:color w:val="0070C0"/>
          <w:sz w:val="16"/>
          <w:szCs w:val="16"/>
          <w:vertAlign w:val="baseline"/>
        </w:rPr>
        <w:t>段</w:t>
      </w:r>
      <w:r w:rsidRPr="00676979">
        <w:rPr>
          <w:rStyle w:val="af8"/>
          <w:rFonts w:ascii="Georgia" w:hAnsi="Georgia"/>
          <w:i/>
          <w:color w:val="0070C0"/>
          <w:sz w:val="16"/>
          <w:szCs w:val="16"/>
          <w:vertAlign w:val="baseline"/>
        </w:rPr>
        <w:t>(e)(iv)</w:t>
      </w:r>
      <w:r w:rsidRPr="00676979">
        <w:rPr>
          <w:rStyle w:val="af8"/>
          <w:rFonts w:ascii="Georgia" w:hAnsi="Georgia"/>
          <w:i/>
          <w:color w:val="0070C0"/>
          <w:sz w:val="16"/>
          <w:szCs w:val="16"/>
          <w:vertAlign w:val="baseline"/>
        </w:rPr>
        <w:t>之規定，企業應說明轉入或轉出公允價值層級之第</w:t>
      </w:r>
      <w:r w:rsidRPr="00676979">
        <w:rPr>
          <w:rStyle w:val="af8"/>
          <w:rFonts w:ascii="Georgia" w:hAnsi="Georgia" w:hint="eastAsia"/>
          <w:i/>
          <w:color w:val="0070C0"/>
          <w:sz w:val="16"/>
          <w:szCs w:val="16"/>
          <w:vertAlign w:val="baseline"/>
        </w:rPr>
        <w:t>三</w:t>
      </w:r>
      <w:r w:rsidRPr="00676979">
        <w:rPr>
          <w:rStyle w:val="af8"/>
          <w:rFonts w:ascii="Georgia" w:hAnsi="Georgia"/>
          <w:i/>
          <w:color w:val="0070C0"/>
          <w:sz w:val="16"/>
          <w:szCs w:val="16"/>
          <w:vertAlign w:val="baseline"/>
        </w:rPr>
        <w:t>等級之金額、該等移轉之理由及企業對於決定各等級間之移轉何時認定為已發生之政策。對於轉入第</w:t>
      </w:r>
      <w:r w:rsidRPr="00676979">
        <w:rPr>
          <w:rStyle w:val="af8"/>
          <w:rFonts w:ascii="Georgia" w:hAnsi="Georgia" w:hint="eastAsia"/>
          <w:i/>
          <w:color w:val="0070C0"/>
          <w:sz w:val="16"/>
          <w:szCs w:val="16"/>
          <w:vertAlign w:val="baseline"/>
        </w:rPr>
        <w:t>三</w:t>
      </w:r>
      <w:r w:rsidRPr="00676979">
        <w:rPr>
          <w:rStyle w:val="af8"/>
          <w:rFonts w:ascii="Georgia" w:hAnsi="Georgia"/>
          <w:i/>
          <w:color w:val="0070C0"/>
          <w:sz w:val="16"/>
          <w:szCs w:val="16"/>
          <w:vertAlign w:val="baseline"/>
        </w:rPr>
        <w:t>等級及轉出第</w:t>
      </w:r>
      <w:r w:rsidRPr="00676979">
        <w:rPr>
          <w:rStyle w:val="af8"/>
          <w:rFonts w:ascii="Georgia" w:hAnsi="Georgia" w:hint="eastAsia"/>
          <w:i/>
          <w:color w:val="0070C0"/>
          <w:sz w:val="16"/>
          <w:szCs w:val="16"/>
          <w:vertAlign w:val="baseline"/>
        </w:rPr>
        <w:t>三</w:t>
      </w:r>
      <w:r w:rsidRPr="00676979">
        <w:rPr>
          <w:rStyle w:val="af8"/>
          <w:rFonts w:ascii="Georgia" w:hAnsi="Georgia"/>
          <w:i/>
          <w:color w:val="0070C0"/>
          <w:sz w:val="16"/>
          <w:szCs w:val="16"/>
          <w:vertAlign w:val="baseline"/>
        </w:rPr>
        <w:t>等級應分別揭露與討論。</w:t>
      </w:r>
    </w:p>
  </w:footnote>
  <w:footnote w:id="4">
    <w:p w:rsidR="007B1B3D" w:rsidRPr="00A37C7D" w:rsidRDefault="007B1B3D" w:rsidP="00A37C7D">
      <w:pPr>
        <w:pStyle w:val="af6"/>
        <w:ind w:left="90" w:hangingChars="56" w:hanging="90"/>
        <w:rPr>
          <w:rFonts w:ascii="Georgia" w:eastAsia="標楷體" w:hAnsi="Georgia"/>
          <w:color w:val="0070C0"/>
          <w:sz w:val="16"/>
          <w:szCs w:val="16"/>
        </w:rPr>
      </w:pPr>
      <w:r w:rsidRPr="00A37C7D">
        <w:rPr>
          <w:rFonts w:ascii="Georgia" w:hAnsi="Georgia"/>
          <w:color w:val="0070C0"/>
          <w:sz w:val="16"/>
          <w:szCs w:val="16"/>
          <w:vertAlign w:val="superscript"/>
        </w:rPr>
        <w:footnoteRef/>
      </w:r>
      <w:r w:rsidRPr="00A37C7D">
        <w:rPr>
          <w:rFonts w:ascii="Georgia" w:hAnsi="Georgia"/>
          <w:sz w:val="16"/>
          <w:szCs w:val="16"/>
        </w:rPr>
        <w:t xml:space="preserve"> </w:t>
      </w:r>
      <w:r w:rsidRPr="00A37C7D">
        <w:rPr>
          <w:rFonts w:ascii="Georgia" w:eastAsia="標楷體" w:hAnsi="Georgia"/>
          <w:color w:val="0070C0"/>
          <w:sz w:val="16"/>
          <w:szCs w:val="16"/>
        </w:rPr>
        <w:t>該表係</w:t>
      </w:r>
      <w:proofErr w:type="gramStart"/>
      <w:r w:rsidRPr="00A37C7D">
        <w:rPr>
          <w:rFonts w:ascii="Georgia" w:eastAsia="標楷體" w:hAnsi="Georgia"/>
          <w:color w:val="0070C0"/>
          <w:sz w:val="16"/>
          <w:szCs w:val="16"/>
        </w:rPr>
        <w:t>例舉</w:t>
      </w:r>
      <w:proofErr w:type="gramEnd"/>
      <w:r w:rsidRPr="00A37C7D">
        <w:rPr>
          <w:rFonts w:ascii="Georgia" w:eastAsia="標楷體" w:hAnsi="Georgia"/>
          <w:color w:val="0070C0"/>
          <w:sz w:val="16"/>
          <w:szCs w:val="16"/>
        </w:rPr>
        <w:t>可能歸類為第三等級之項目，公司應依實際狀況揭露說明。</w:t>
      </w:r>
    </w:p>
  </w:footnote>
  <w:footnote w:id="5">
    <w:p w:rsidR="007B1B3D" w:rsidRPr="00A37C7D" w:rsidRDefault="007B1B3D" w:rsidP="00A37C7D">
      <w:pPr>
        <w:pStyle w:val="af6"/>
        <w:ind w:left="112" w:hangingChars="56" w:hanging="112"/>
        <w:rPr>
          <w:rFonts w:ascii="Georgia" w:eastAsia="標楷體" w:hAnsi="Georgia"/>
          <w:color w:val="0070C0"/>
        </w:rPr>
      </w:pPr>
      <w:r w:rsidRPr="00A37C7D">
        <w:rPr>
          <w:rStyle w:val="af8"/>
          <w:rFonts w:ascii="Georgia" w:hAnsi="Georgia"/>
          <w:color w:val="0070C0"/>
        </w:rPr>
        <w:footnoteRef/>
      </w:r>
      <w:r w:rsidRPr="00A37C7D">
        <w:rPr>
          <w:rFonts w:ascii="Georgia" w:eastAsia="標楷體" w:hAnsi="Georgia"/>
          <w:color w:val="0070C0"/>
        </w:rPr>
        <w:t xml:space="preserve"> </w:t>
      </w:r>
      <w:r w:rsidRPr="00A37C7D">
        <w:rPr>
          <w:rFonts w:ascii="Georgia" w:eastAsia="標楷體" w:hAnsi="Georgia"/>
          <w:color w:val="0070C0"/>
          <w:sz w:val="16"/>
          <w:szCs w:val="16"/>
        </w:rPr>
        <w:t>根據經金管會認可之國際財務報導準則第</w:t>
      </w:r>
      <w:r w:rsidRPr="00A37C7D">
        <w:rPr>
          <w:rFonts w:ascii="Georgia" w:eastAsia="標楷體" w:hAnsi="Georgia" w:hint="eastAsia"/>
          <w:color w:val="0070C0"/>
          <w:sz w:val="16"/>
          <w:szCs w:val="16"/>
        </w:rPr>
        <w:t>13</w:t>
      </w:r>
      <w:r w:rsidRPr="00A37C7D">
        <w:rPr>
          <w:rFonts w:ascii="Georgia" w:eastAsia="標楷體" w:hAnsi="Georgia"/>
          <w:color w:val="0070C0"/>
          <w:sz w:val="16"/>
          <w:szCs w:val="16"/>
        </w:rPr>
        <w:t>號第</w:t>
      </w:r>
      <w:r w:rsidRPr="00A37C7D">
        <w:rPr>
          <w:rFonts w:ascii="Georgia" w:eastAsia="標楷體" w:hAnsi="Georgia" w:hint="eastAsia"/>
          <w:color w:val="0070C0"/>
          <w:sz w:val="16"/>
          <w:szCs w:val="16"/>
        </w:rPr>
        <w:t>93(h)(ii)</w:t>
      </w:r>
      <w:r w:rsidRPr="00A37C7D">
        <w:rPr>
          <w:rFonts w:ascii="Georgia" w:eastAsia="標楷體" w:hAnsi="Georgia"/>
          <w:color w:val="0070C0"/>
          <w:sz w:val="16"/>
          <w:szCs w:val="16"/>
        </w:rPr>
        <w:t>段之說明，針對歸類為第三</w:t>
      </w:r>
      <w:r w:rsidRPr="00A37C7D">
        <w:rPr>
          <w:rFonts w:ascii="Georgia" w:eastAsia="標楷體" w:hAnsi="Georgia" w:hint="eastAsia"/>
          <w:color w:val="0070C0"/>
          <w:sz w:val="16"/>
          <w:szCs w:val="16"/>
        </w:rPr>
        <w:t>等</w:t>
      </w:r>
      <w:r w:rsidRPr="00A37C7D">
        <w:rPr>
          <w:rFonts w:ascii="Georgia" w:eastAsia="標楷體" w:hAnsi="Georgia"/>
          <w:color w:val="0070C0"/>
          <w:sz w:val="16"/>
          <w:szCs w:val="16"/>
        </w:rPr>
        <w:t>級之公允價值衡量，若一項或多項輸入值變更為合理可能之替代假設將使公允價值發生重大變動者，企業應說明該事實並揭露該等變動之影響。企業應揭露變更為合理可能之替代假設所造成之影響係如何計算。另除非其他格式更為適宜外，企業應以表格樣式揭露本段規定之量化資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4BE0EA6"/>
    <w:multiLevelType w:val="hybridMultilevel"/>
    <w:tmpl w:val="667C24F4"/>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1">
    <w:nsid w:val="073B0568"/>
    <w:multiLevelType w:val="hybridMultilevel"/>
    <w:tmpl w:val="C0589E6E"/>
    <w:lvl w:ilvl="0" w:tplc="1B2E38CC">
      <w:start w:val="1"/>
      <w:numFmt w:val="decimal"/>
      <w:lvlText w:val="%1."/>
      <w:lvlJc w:val="left"/>
      <w:pPr>
        <w:ind w:left="1920" w:hanging="480"/>
      </w:pPr>
      <w:rPr>
        <w:rFonts w:ascii="Georgia" w:eastAsia="標楷體" w:hAnsi="Georgia" w:hint="default"/>
        <w:b w:val="0"/>
        <w:i w:val="0"/>
        <w:sz w:val="24"/>
        <w:szCs w:val="24"/>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0984408E"/>
    <w:multiLevelType w:val="multilevel"/>
    <w:tmpl w:val="EE3860A0"/>
    <w:name w:val="PwCListNumbers1"/>
    <w:styleLink w:val="PwCListNumbers1"/>
    <w:lvl w:ilvl="0">
      <w:start w:val="1"/>
      <w:numFmt w:val="decimal"/>
      <w:pStyle w:val="a"/>
      <w:lvlText w:val="%1."/>
      <w:lvlJc w:val="left"/>
      <w:pPr>
        <w:tabs>
          <w:tab w:val="num" w:pos="567"/>
        </w:tabs>
        <w:ind w:left="567" w:hanging="567"/>
      </w:pPr>
      <w:rPr>
        <w:rFonts w:hint="default"/>
      </w:rPr>
    </w:lvl>
    <w:lvl w:ilvl="1">
      <w:start w:val="1"/>
      <w:numFmt w:val="lowerLetter"/>
      <w:pStyle w:val="2"/>
      <w:lvlText w:val="%2."/>
      <w:lvlJc w:val="left"/>
      <w:pPr>
        <w:tabs>
          <w:tab w:val="num" w:pos="1134"/>
        </w:tabs>
        <w:ind w:left="1134" w:hanging="567"/>
      </w:pPr>
      <w:rPr>
        <w:rFonts w:hint="default"/>
      </w:rPr>
    </w:lvl>
    <w:lvl w:ilvl="2">
      <w:start w:val="1"/>
      <w:numFmt w:val="lowerRoman"/>
      <w:pStyle w:val="3"/>
      <w:lvlText w:val="%3."/>
      <w:lvlJc w:val="left"/>
      <w:pPr>
        <w:tabs>
          <w:tab w:val="num" w:pos="1701"/>
        </w:tabs>
        <w:ind w:left="1701" w:hanging="567"/>
      </w:pPr>
      <w:rPr>
        <w:rFonts w:hint="default"/>
      </w:rPr>
    </w:lvl>
    <w:lvl w:ilvl="3">
      <w:start w:val="1"/>
      <w:numFmt w:val="decimal"/>
      <w:pStyle w:val="4"/>
      <w:lvlText w:val="%4."/>
      <w:lvlJc w:val="left"/>
      <w:pPr>
        <w:tabs>
          <w:tab w:val="num" w:pos="2268"/>
        </w:tabs>
        <w:ind w:left="2268" w:hanging="567"/>
      </w:pPr>
      <w:rPr>
        <w:rFonts w:hint="default"/>
      </w:rPr>
    </w:lvl>
    <w:lvl w:ilvl="4">
      <w:start w:val="1"/>
      <w:numFmt w:val="lowerLetter"/>
      <w:pStyle w:va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nsid w:val="0CCB6BBD"/>
    <w:multiLevelType w:val="hybridMultilevel"/>
    <w:tmpl w:val="C5E457DA"/>
    <w:lvl w:ilvl="0" w:tplc="1B2E38CC">
      <w:start w:val="1"/>
      <w:numFmt w:val="decimal"/>
      <w:lvlText w:val="%1."/>
      <w:lvlJc w:val="left"/>
      <w:pPr>
        <w:ind w:left="1920" w:hanging="480"/>
      </w:pPr>
      <w:rPr>
        <w:rFonts w:ascii="Georgia" w:eastAsia="標楷體" w:hAnsi="Georgia" w:hint="default"/>
        <w:b w:val="0"/>
        <w:i w:val="0"/>
        <w:sz w:val="24"/>
        <w:szCs w:val="24"/>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166849C4"/>
    <w:multiLevelType w:val="multilevel"/>
    <w:tmpl w:val="CD4C98AE"/>
    <w:name w:val="PwCListBullets12"/>
    <w:numStyleLink w:val="PwCListBullets1"/>
  </w:abstractNum>
  <w:abstractNum w:abstractNumId="15">
    <w:nsid w:val="1E0849F5"/>
    <w:multiLevelType w:val="multilevel"/>
    <w:tmpl w:val="EE3860A0"/>
    <w:name w:val="PwCListNumbers12"/>
    <w:numStyleLink w:val="PwCListNumbers1"/>
  </w:abstractNum>
  <w:abstractNum w:abstractNumId="16">
    <w:nsid w:val="22746BCE"/>
    <w:multiLevelType w:val="multilevel"/>
    <w:tmpl w:val="7A8E3988"/>
    <w:lvl w:ilvl="0">
      <w:start w:val="1"/>
      <w:numFmt w:val="taiwaneseCountingThousand"/>
      <w:lvlText w:val="%1、"/>
      <w:lvlJc w:val="left"/>
      <w:pPr>
        <w:tabs>
          <w:tab w:val="num" w:pos="425"/>
        </w:tabs>
        <w:ind w:left="425" w:hanging="425"/>
      </w:pPr>
      <w:rPr>
        <w:rFonts w:hint="eastAsia"/>
        <w:b/>
        <w:bCs w:val="0"/>
        <w:lang w:val="en-US"/>
      </w:rPr>
    </w:lvl>
    <w:lvl w:ilvl="1">
      <w:start w:val="1"/>
      <w:numFmt w:val="taiwaneseCountingThousand"/>
      <w:lvlText w:val="(%2)"/>
      <w:lvlJc w:val="left"/>
      <w:pPr>
        <w:tabs>
          <w:tab w:val="num" w:pos="992"/>
        </w:tabs>
        <w:ind w:left="992" w:hanging="567"/>
      </w:pPr>
      <w:rPr>
        <w:rFonts w:hint="eastAsia"/>
        <w:b w:val="0"/>
        <w:bCs/>
        <w:i w:val="0"/>
        <w:sz w:val="24"/>
        <w:szCs w:val="24"/>
        <w:u w:val="none"/>
      </w:rPr>
    </w:lvl>
    <w:lvl w:ilvl="2">
      <w:start w:val="1"/>
      <w:numFmt w:val="decimal"/>
      <w:lvlText w:val="(%3)"/>
      <w:lvlJc w:val="left"/>
      <w:pPr>
        <w:tabs>
          <w:tab w:val="num" w:pos="1854"/>
        </w:tabs>
        <w:ind w:left="1701" w:hanging="567"/>
      </w:pPr>
      <w:rPr>
        <w:rFonts w:ascii="Georgia" w:hAnsi="Georgia" w:cs="Times New Roman" w:hint="default"/>
        <w:b w:val="0"/>
        <w:i w:val="0"/>
        <w:sz w:val="24"/>
        <w:szCs w:val="24"/>
      </w:rPr>
    </w:lvl>
    <w:lvl w:ilvl="3">
      <w:start w:val="1"/>
      <w:numFmt w:val="decimal"/>
      <w:lvlText w:val="%1.%2.%3.%4"/>
      <w:lvlJc w:val="left"/>
      <w:pPr>
        <w:tabs>
          <w:tab w:val="num" w:pos="1440"/>
        </w:tabs>
        <w:ind w:left="1068"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nsid w:val="2BA80A01"/>
    <w:multiLevelType w:val="hybridMultilevel"/>
    <w:tmpl w:val="FC668662"/>
    <w:lvl w:ilvl="0" w:tplc="736EA852">
      <w:start w:val="1"/>
      <w:numFmt w:val="taiwaneseCountingThousand"/>
      <w:lvlText w:val="%1、"/>
      <w:lvlJc w:val="left"/>
      <w:pPr>
        <w:ind w:left="487" w:hanging="487"/>
      </w:pPr>
      <w:rPr>
        <w:rFonts w:hint="default"/>
      </w:r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8">
    <w:nsid w:val="38223684"/>
    <w:multiLevelType w:val="hybridMultilevel"/>
    <w:tmpl w:val="DBA4D0F2"/>
    <w:lvl w:ilvl="0" w:tplc="1B2E38CC">
      <w:start w:val="1"/>
      <w:numFmt w:val="decimal"/>
      <w:lvlText w:val="%1."/>
      <w:lvlJc w:val="left"/>
      <w:pPr>
        <w:ind w:left="1920" w:hanging="480"/>
      </w:pPr>
      <w:rPr>
        <w:rFonts w:ascii="Georgia" w:eastAsia="標楷體" w:hAnsi="Georgia" w:hint="default"/>
        <w:b w:val="0"/>
        <w:i w:val="0"/>
        <w:sz w:val="24"/>
        <w:szCs w:val="24"/>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3A57486E"/>
    <w:multiLevelType w:val="multilevel"/>
    <w:tmpl w:val="EE3860A0"/>
    <w:name w:val="PwCListNumbers13"/>
    <w:numStyleLink w:val="PwCListNumbers1"/>
  </w:abstractNum>
  <w:abstractNum w:abstractNumId="20">
    <w:nsid w:val="47147FCF"/>
    <w:multiLevelType w:val="hybridMultilevel"/>
    <w:tmpl w:val="36EE9804"/>
    <w:lvl w:ilvl="0" w:tplc="A0AA3A64">
      <w:start w:val="1"/>
      <w:numFmt w:val="decimal"/>
      <w:lvlText w:val="(%1)"/>
      <w:lvlJc w:val="left"/>
      <w:pPr>
        <w:ind w:left="1920" w:hanging="480"/>
      </w:pPr>
      <w:rPr>
        <w:rFonts w:hint="eastAsia"/>
        <w:b w:val="0"/>
        <w:i w:val="0"/>
        <w:sz w:val="24"/>
        <w:szCs w:val="24"/>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59130572"/>
    <w:multiLevelType w:val="hybridMultilevel"/>
    <w:tmpl w:val="5A6A12DA"/>
    <w:lvl w:ilvl="0" w:tplc="0409000F">
      <w:start w:val="1"/>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2">
    <w:nsid w:val="5A14678D"/>
    <w:multiLevelType w:val="hybridMultilevel"/>
    <w:tmpl w:val="BF2EF5D8"/>
    <w:lvl w:ilvl="0" w:tplc="A0AA3A64">
      <w:start w:val="1"/>
      <w:numFmt w:val="decimal"/>
      <w:lvlText w:val="(%1)"/>
      <w:lvlJc w:val="left"/>
      <w:pPr>
        <w:ind w:left="1920" w:hanging="480"/>
      </w:pPr>
      <w:rPr>
        <w:rFonts w:hint="eastAsia"/>
      </w:rPr>
    </w:lvl>
    <w:lvl w:ilvl="1" w:tplc="04090011">
      <w:start w:val="1"/>
      <w:numFmt w:val="upperLetter"/>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72591CA9"/>
    <w:multiLevelType w:val="multilevel"/>
    <w:tmpl w:val="CD4C98AE"/>
    <w:name w:val="PwCListBullets1"/>
    <w:styleLink w:val="PwCListBullets1"/>
    <w:lvl w:ilvl="0">
      <w:start w:val="1"/>
      <w:numFmt w:val="bullet"/>
      <w:pStyle w:val="a0"/>
      <w:lvlText w:val=""/>
      <w:lvlJc w:val="left"/>
      <w:pPr>
        <w:tabs>
          <w:tab w:val="num" w:pos="567"/>
        </w:tabs>
        <w:ind w:left="567" w:hanging="567"/>
      </w:pPr>
      <w:rPr>
        <w:rFonts w:ascii="Symbol" w:hAnsi="Symbol" w:hint="default"/>
      </w:rPr>
    </w:lvl>
    <w:lvl w:ilvl="1">
      <w:start w:val="1"/>
      <w:numFmt w:val="bullet"/>
      <w:pStyle w:val="20"/>
      <w:lvlText w:val=""/>
      <w:lvlJc w:val="left"/>
      <w:pPr>
        <w:tabs>
          <w:tab w:val="num" w:pos="1134"/>
        </w:tabs>
        <w:ind w:left="1134" w:hanging="567"/>
      </w:pPr>
      <w:rPr>
        <w:rFonts w:ascii="Symbol" w:hAnsi="Symbol" w:hint="default"/>
      </w:rPr>
    </w:lvl>
    <w:lvl w:ilvl="2">
      <w:start w:val="1"/>
      <w:numFmt w:val="bullet"/>
      <w:pStyle w:val="30"/>
      <w:lvlText w:val=""/>
      <w:lvlJc w:val="left"/>
      <w:pPr>
        <w:tabs>
          <w:tab w:val="num" w:pos="1701"/>
        </w:tabs>
        <w:ind w:left="1701" w:hanging="567"/>
      </w:pPr>
      <w:rPr>
        <w:rFonts w:ascii="Symbol" w:hAnsi="Symbol" w:hint="default"/>
      </w:rPr>
    </w:lvl>
    <w:lvl w:ilvl="3">
      <w:start w:val="1"/>
      <w:numFmt w:val="bullet"/>
      <w:pStyle w:val="40"/>
      <w:lvlText w:val=""/>
      <w:lvlJc w:val="left"/>
      <w:pPr>
        <w:tabs>
          <w:tab w:val="num" w:pos="2268"/>
        </w:tabs>
        <w:ind w:left="2268" w:hanging="567"/>
      </w:pPr>
      <w:rPr>
        <w:rFonts w:ascii="Symbol" w:hAnsi="Symbol" w:hint="default"/>
      </w:rPr>
    </w:lvl>
    <w:lvl w:ilvl="4">
      <w:start w:val="1"/>
      <w:numFmt w:val="bullet"/>
      <w:pStyle w:val="5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nsid w:val="73C3440E"/>
    <w:multiLevelType w:val="hybridMultilevel"/>
    <w:tmpl w:val="7CAA1792"/>
    <w:lvl w:ilvl="0" w:tplc="04090011">
      <w:start w:val="1"/>
      <w:numFmt w:val="upperLetter"/>
      <w:lvlText w:val="%1."/>
      <w:lvlJc w:val="left"/>
      <w:pPr>
        <w:ind w:left="2400" w:hanging="480"/>
      </w:pPr>
    </w:lvl>
    <w:lvl w:ilvl="1" w:tplc="C792BE64">
      <w:start w:val="1"/>
      <w:numFmt w:val="decimal"/>
      <w:lvlText w:val="(%2)"/>
      <w:lvlJc w:val="left"/>
      <w:pPr>
        <w:ind w:left="2880" w:hanging="480"/>
      </w:pPr>
      <w:rPr>
        <w:rFonts w:ascii="Georgia" w:hAnsi="Georgia" w:cs="Times New Roman" w:hint="default"/>
      </w:rPr>
    </w:lvl>
    <w:lvl w:ilvl="2" w:tplc="F620D60E">
      <w:start w:val="1"/>
      <w:numFmt w:val="decimal"/>
      <w:lvlText w:val="(%3)"/>
      <w:lvlJc w:val="left"/>
      <w:pPr>
        <w:ind w:left="3240" w:hanging="360"/>
      </w:pPr>
      <w:rPr>
        <w:rFonts w:hint="default"/>
      </w:r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4"/>
  </w:num>
  <w:num w:numId="14">
    <w:abstractNumId w:val="1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21"/>
  </w:num>
  <w:num w:numId="19">
    <w:abstractNumId w:val="13"/>
  </w:num>
  <w:num w:numId="20">
    <w:abstractNumId w:val="18"/>
  </w:num>
  <w:num w:numId="21">
    <w:abstractNumId w:val="24"/>
  </w:num>
  <w:num w:numId="22">
    <w:abstractNumId w:val="20"/>
  </w:num>
  <w:num w:numId="23">
    <w:abstractNumId w:val="11"/>
  </w:num>
  <w:num w:numId="24">
    <w:abstractNumId w:val="22"/>
  </w:num>
  <w:num w:numId="25">
    <w:abstractNumId w:val="1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4"/>
  <w:stylePaneSortMethod w:val="0000"/>
  <w:defaultTabStop w:val="720"/>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072156"/>
    <w:rsid w:val="00003A9D"/>
    <w:rsid w:val="000059E0"/>
    <w:rsid w:val="00007816"/>
    <w:rsid w:val="00007C09"/>
    <w:rsid w:val="00010B3C"/>
    <w:rsid w:val="00013213"/>
    <w:rsid w:val="00013E6C"/>
    <w:rsid w:val="000161B3"/>
    <w:rsid w:val="00024A8E"/>
    <w:rsid w:val="00026B3C"/>
    <w:rsid w:val="00033925"/>
    <w:rsid w:val="00037814"/>
    <w:rsid w:val="00037A30"/>
    <w:rsid w:val="00037E02"/>
    <w:rsid w:val="00037F51"/>
    <w:rsid w:val="000411B2"/>
    <w:rsid w:val="00041BA7"/>
    <w:rsid w:val="00042982"/>
    <w:rsid w:val="00042F1B"/>
    <w:rsid w:val="00045723"/>
    <w:rsid w:val="00050463"/>
    <w:rsid w:val="0005098C"/>
    <w:rsid w:val="00051B0B"/>
    <w:rsid w:val="00052917"/>
    <w:rsid w:val="00053E6E"/>
    <w:rsid w:val="00055A13"/>
    <w:rsid w:val="00056E23"/>
    <w:rsid w:val="00061508"/>
    <w:rsid w:val="00061896"/>
    <w:rsid w:val="00062735"/>
    <w:rsid w:val="00064CCC"/>
    <w:rsid w:val="00065017"/>
    <w:rsid w:val="0006750E"/>
    <w:rsid w:val="00070F94"/>
    <w:rsid w:val="00072156"/>
    <w:rsid w:val="0007483A"/>
    <w:rsid w:val="00074CDB"/>
    <w:rsid w:val="000754AF"/>
    <w:rsid w:val="0008004F"/>
    <w:rsid w:val="000835F2"/>
    <w:rsid w:val="00084DFC"/>
    <w:rsid w:val="00090CBE"/>
    <w:rsid w:val="000911B0"/>
    <w:rsid w:val="0009231E"/>
    <w:rsid w:val="00092646"/>
    <w:rsid w:val="00092B36"/>
    <w:rsid w:val="00093865"/>
    <w:rsid w:val="00094BD3"/>
    <w:rsid w:val="00095E31"/>
    <w:rsid w:val="000A1AF7"/>
    <w:rsid w:val="000A20DE"/>
    <w:rsid w:val="000A38D7"/>
    <w:rsid w:val="000A3E1D"/>
    <w:rsid w:val="000A5B5D"/>
    <w:rsid w:val="000A6011"/>
    <w:rsid w:val="000B2960"/>
    <w:rsid w:val="000B428E"/>
    <w:rsid w:val="000B4868"/>
    <w:rsid w:val="000B4913"/>
    <w:rsid w:val="000B5D29"/>
    <w:rsid w:val="000B60E7"/>
    <w:rsid w:val="000B72F1"/>
    <w:rsid w:val="000B7641"/>
    <w:rsid w:val="000C00C8"/>
    <w:rsid w:val="000C4828"/>
    <w:rsid w:val="000C7302"/>
    <w:rsid w:val="000D01D7"/>
    <w:rsid w:val="000D0448"/>
    <w:rsid w:val="000D05CC"/>
    <w:rsid w:val="000D066D"/>
    <w:rsid w:val="000D1503"/>
    <w:rsid w:val="000D1B46"/>
    <w:rsid w:val="000D28B4"/>
    <w:rsid w:val="000D33BA"/>
    <w:rsid w:val="000D482F"/>
    <w:rsid w:val="000D77F3"/>
    <w:rsid w:val="000E23F8"/>
    <w:rsid w:val="000E3AC2"/>
    <w:rsid w:val="000E406A"/>
    <w:rsid w:val="000E4CFA"/>
    <w:rsid w:val="000E5CE2"/>
    <w:rsid w:val="000E6291"/>
    <w:rsid w:val="000E6AC3"/>
    <w:rsid w:val="000E7896"/>
    <w:rsid w:val="000E7F89"/>
    <w:rsid w:val="000F2E07"/>
    <w:rsid w:val="000F352D"/>
    <w:rsid w:val="000F3967"/>
    <w:rsid w:val="000F5490"/>
    <w:rsid w:val="000F6FBB"/>
    <w:rsid w:val="000F733F"/>
    <w:rsid w:val="00100956"/>
    <w:rsid w:val="00101FF3"/>
    <w:rsid w:val="00102EE9"/>
    <w:rsid w:val="00103991"/>
    <w:rsid w:val="0010482A"/>
    <w:rsid w:val="00105E23"/>
    <w:rsid w:val="001066FA"/>
    <w:rsid w:val="00106B5C"/>
    <w:rsid w:val="001113E9"/>
    <w:rsid w:val="0011254E"/>
    <w:rsid w:val="00112F2B"/>
    <w:rsid w:val="00112FCC"/>
    <w:rsid w:val="00113E68"/>
    <w:rsid w:val="00114E1A"/>
    <w:rsid w:val="00117EF7"/>
    <w:rsid w:val="00120F31"/>
    <w:rsid w:val="00122134"/>
    <w:rsid w:val="0012229F"/>
    <w:rsid w:val="00122529"/>
    <w:rsid w:val="00123BAD"/>
    <w:rsid w:val="001244A9"/>
    <w:rsid w:val="00125C01"/>
    <w:rsid w:val="00130193"/>
    <w:rsid w:val="00131132"/>
    <w:rsid w:val="00134B29"/>
    <w:rsid w:val="001360B4"/>
    <w:rsid w:val="00136975"/>
    <w:rsid w:val="0014051C"/>
    <w:rsid w:val="00140CA9"/>
    <w:rsid w:val="00141B43"/>
    <w:rsid w:val="00142F8E"/>
    <w:rsid w:val="00142FD3"/>
    <w:rsid w:val="00143547"/>
    <w:rsid w:val="00144153"/>
    <w:rsid w:val="0014449B"/>
    <w:rsid w:val="00145E98"/>
    <w:rsid w:val="0014618F"/>
    <w:rsid w:val="00146699"/>
    <w:rsid w:val="00146A1E"/>
    <w:rsid w:val="001471A9"/>
    <w:rsid w:val="0015062C"/>
    <w:rsid w:val="00151324"/>
    <w:rsid w:val="0015276A"/>
    <w:rsid w:val="00161B7F"/>
    <w:rsid w:val="001640CE"/>
    <w:rsid w:val="0016546E"/>
    <w:rsid w:val="00167497"/>
    <w:rsid w:val="00170434"/>
    <w:rsid w:val="001739F4"/>
    <w:rsid w:val="001747FB"/>
    <w:rsid w:val="00176423"/>
    <w:rsid w:val="00176EB3"/>
    <w:rsid w:val="00176ED7"/>
    <w:rsid w:val="00181A50"/>
    <w:rsid w:val="001826E2"/>
    <w:rsid w:val="00184C5C"/>
    <w:rsid w:val="00185AD9"/>
    <w:rsid w:val="00185DCA"/>
    <w:rsid w:val="0018676F"/>
    <w:rsid w:val="00187652"/>
    <w:rsid w:val="001910F5"/>
    <w:rsid w:val="0019182D"/>
    <w:rsid w:val="00192428"/>
    <w:rsid w:val="00192533"/>
    <w:rsid w:val="0019289E"/>
    <w:rsid w:val="0019396E"/>
    <w:rsid w:val="00194A24"/>
    <w:rsid w:val="00195173"/>
    <w:rsid w:val="001977BB"/>
    <w:rsid w:val="001A1625"/>
    <w:rsid w:val="001A32FF"/>
    <w:rsid w:val="001A6238"/>
    <w:rsid w:val="001A7045"/>
    <w:rsid w:val="001B082E"/>
    <w:rsid w:val="001B1ABA"/>
    <w:rsid w:val="001B2D7C"/>
    <w:rsid w:val="001B31E8"/>
    <w:rsid w:val="001B3267"/>
    <w:rsid w:val="001B3C33"/>
    <w:rsid w:val="001B4086"/>
    <w:rsid w:val="001B4293"/>
    <w:rsid w:val="001B5A55"/>
    <w:rsid w:val="001C16E5"/>
    <w:rsid w:val="001C3011"/>
    <w:rsid w:val="001C451F"/>
    <w:rsid w:val="001C57F2"/>
    <w:rsid w:val="001C7FA0"/>
    <w:rsid w:val="001D6DC1"/>
    <w:rsid w:val="001E0A42"/>
    <w:rsid w:val="001E1801"/>
    <w:rsid w:val="001E2295"/>
    <w:rsid w:val="001E6DF9"/>
    <w:rsid w:val="001F154A"/>
    <w:rsid w:val="001F1C28"/>
    <w:rsid w:val="001F2965"/>
    <w:rsid w:val="001F30C8"/>
    <w:rsid w:val="001F3BB8"/>
    <w:rsid w:val="001F4971"/>
    <w:rsid w:val="001F4E30"/>
    <w:rsid w:val="001F61AB"/>
    <w:rsid w:val="0020051B"/>
    <w:rsid w:val="00203CF2"/>
    <w:rsid w:val="00204A6C"/>
    <w:rsid w:val="00205EBD"/>
    <w:rsid w:val="0021243B"/>
    <w:rsid w:val="00215C37"/>
    <w:rsid w:val="002178C6"/>
    <w:rsid w:val="00221948"/>
    <w:rsid w:val="00221A1B"/>
    <w:rsid w:val="00222CD6"/>
    <w:rsid w:val="0022394D"/>
    <w:rsid w:val="002240F2"/>
    <w:rsid w:val="002250E2"/>
    <w:rsid w:val="002269B2"/>
    <w:rsid w:val="00233404"/>
    <w:rsid w:val="00233F61"/>
    <w:rsid w:val="00233FB1"/>
    <w:rsid w:val="00235418"/>
    <w:rsid w:val="00236B36"/>
    <w:rsid w:val="002372C0"/>
    <w:rsid w:val="002446B2"/>
    <w:rsid w:val="00244ECF"/>
    <w:rsid w:val="0025078B"/>
    <w:rsid w:val="00250939"/>
    <w:rsid w:val="002513F2"/>
    <w:rsid w:val="002517EF"/>
    <w:rsid w:val="00252C02"/>
    <w:rsid w:val="00253489"/>
    <w:rsid w:val="00254028"/>
    <w:rsid w:val="00254358"/>
    <w:rsid w:val="002559C8"/>
    <w:rsid w:val="00257A8F"/>
    <w:rsid w:val="00260669"/>
    <w:rsid w:val="00260CCF"/>
    <w:rsid w:val="00262D5F"/>
    <w:rsid w:val="00262E58"/>
    <w:rsid w:val="00263978"/>
    <w:rsid w:val="00271DB1"/>
    <w:rsid w:val="002760B4"/>
    <w:rsid w:val="0027757F"/>
    <w:rsid w:val="002822E7"/>
    <w:rsid w:val="00284F2F"/>
    <w:rsid w:val="00287119"/>
    <w:rsid w:val="00291324"/>
    <w:rsid w:val="0029139F"/>
    <w:rsid w:val="002913C9"/>
    <w:rsid w:val="00294B79"/>
    <w:rsid w:val="00294CF1"/>
    <w:rsid w:val="00295526"/>
    <w:rsid w:val="00295B1D"/>
    <w:rsid w:val="00296678"/>
    <w:rsid w:val="00297ED4"/>
    <w:rsid w:val="002A1AD1"/>
    <w:rsid w:val="002A2499"/>
    <w:rsid w:val="002A2F83"/>
    <w:rsid w:val="002A3BCD"/>
    <w:rsid w:val="002B1EE4"/>
    <w:rsid w:val="002B3BCB"/>
    <w:rsid w:val="002B5417"/>
    <w:rsid w:val="002B628B"/>
    <w:rsid w:val="002C15D4"/>
    <w:rsid w:val="002C2BD0"/>
    <w:rsid w:val="002E1DE7"/>
    <w:rsid w:val="002E2AE2"/>
    <w:rsid w:val="002E3565"/>
    <w:rsid w:val="002E55CF"/>
    <w:rsid w:val="002E653B"/>
    <w:rsid w:val="002E77D4"/>
    <w:rsid w:val="002E7FEF"/>
    <w:rsid w:val="002F035E"/>
    <w:rsid w:val="002F1313"/>
    <w:rsid w:val="002F2738"/>
    <w:rsid w:val="002F320C"/>
    <w:rsid w:val="002F358F"/>
    <w:rsid w:val="002F4D21"/>
    <w:rsid w:val="002F5813"/>
    <w:rsid w:val="002F6042"/>
    <w:rsid w:val="002F62E7"/>
    <w:rsid w:val="002F6A77"/>
    <w:rsid w:val="00301EBC"/>
    <w:rsid w:val="00303957"/>
    <w:rsid w:val="0030456A"/>
    <w:rsid w:val="00305033"/>
    <w:rsid w:val="0030537A"/>
    <w:rsid w:val="00305F70"/>
    <w:rsid w:val="00310B8D"/>
    <w:rsid w:val="00310E4B"/>
    <w:rsid w:val="00312276"/>
    <w:rsid w:val="00312F79"/>
    <w:rsid w:val="00314ECA"/>
    <w:rsid w:val="003165DA"/>
    <w:rsid w:val="00320172"/>
    <w:rsid w:val="00320632"/>
    <w:rsid w:val="003215F1"/>
    <w:rsid w:val="00322C9E"/>
    <w:rsid w:val="00322CD2"/>
    <w:rsid w:val="00323D8A"/>
    <w:rsid w:val="003315F7"/>
    <w:rsid w:val="00332A6B"/>
    <w:rsid w:val="0033388C"/>
    <w:rsid w:val="00335571"/>
    <w:rsid w:val="00335CD8"/>
    <w:rsid w:val="00336552"/>
    <w:rsid w:val="00344DAF"/>
    <w:rsid w:val="00345035"/>
    <w:rsid w:val="003461DE"/>
    <w:rsid w:val="00347420"/>
    <w:rsid w:val="00347B82"/>
    <w:rsid w:val="003508D3"/>
    <w:rsid w:val="00355598"/>
    <w:rsid w:val="0036046E"/>
    <w:rsid w:val="00362813"/>
    <w:rsid w:val="00363701"/>
    <w:rsid w:val="00365EB7"/>
    <w:rsid w:val="00365F9E"/>
    <w:rsid w:val="003701E1"/>
    <w:rsid w:val="00370BBF"/>
    <w:rsid w:val="00373B9B"/>
    <w:rsid w:val="0037636D"/>
    <w:rsid w:val="0037771D"/>
    <w:rsid w:val="003778CD"/>
    <w:rsid w:val="003807B2"/>
    <w:rsid w:val="003838CD"/>
    <w:rsid w:val="00383933"/>
    <w:rsid w:val="00384AA5"/>
    <w:rsid w:val="003853F6"/>
    <w:rsid w:val="003854D7"/>
    <w:rsid w:val="00387395"/>
    <w:rsid w:val="003874A8"/>
    <w:rsid w:val="00387512"/>
    <w:rsid w:val="00390DC1"/>
    <w:rsid w:val="00390EC4"/>
    <w:rsid w:val="0039140F"/>
    <w:rsid w:val="0039669A"/>
    <w:rsid w:val="003A012E"/>
    <w:rsid w:val="003A05F4"/>
    <w:rsid w:val="003A145D"/>
    <w:rsid w:val="003A2692"/>
    <w:rsid w:val="003A6940"/>
    <w:rsid w:val="003B0640"/>
    <w:rsid w:val="003B081C"/>
    <w:rsid w:val="003B0E4B"/>
    <w:rsid w:val="003B13BC"/>
    <w:rsid w:val="003B2680"/>
    <w:rsid w:val="003B3153"/>
    <w:rsid w:val="003B4BFE"/>
    <w:rsid w:val="003B569A"/>
    <w:rsid w:val="003B7842"/>
    <w:rsid w:val="003B7C84"/>
    <w:rsid w:val="003C0253"/>
    <w:rsid w:val="003C2AA7"/>
    <w:rsid w:val="003C35A2"/>
    <w:rsid w:val="003C46E6"/>
    <w:rsid w:val="003C53FB"/>
    <w:rsid w:val="003D0BD3"/>
    <w:rsid w:val="003D17C0"/>
    <w:rsid w:val="003D2782"/>
    <w:rsid w:val="003D2CAD"/>
    <w:rsid w:val="003D3727"/>
    <w:rsid w:val="003D45DE"/>
    <w:rsid w:val="003D75BB"/>
    <w:rsid w:val="003E0F83"/>
    <w:rsid w:val="003E2FCE"/>
    <w:rsid w:val="003E3310"/>
    <w:rsid w:val="003E351B"/>
    <w:rsid w:val="003E4A48"/>
    <w:rsid w:val="003E5633"/>
    <w:rsid w:val="003E5949"/>
    <w:rsid w:val="003E5DD4"/>
    <w:rsid w:val="003E5F0B"/>
    <w:rsid w:val="003E660C"/>
    <w:rsid w:val="003E76A1"/>
    <w:rsid w:val="003F0025"/>
    <w:rsid w:val="003F5451"/>
    <w:rsid w:val="003F6089"/>
    <w:rsid w:val="003F62E9"/>
    <w:rsid w:val="0040067A"/>
    <w:rsid w:val="00401566"/>
    <w:rsid w:val="00403A39"/>
    <w:rsid w:val="0040465C"/>
    <w:rsid w:val="004062CE"/>
    <w:rsid w:val="0041161A"/>
    <w:rsid w:val="00411707"/>
    <w:rsid w:val="00412E77"/>
    <w:rsid w:val="00413AEF"/>
    <w:rsid w:val="00414225"/>
    <w:rsid w:val="00417543"/>
    <w:rsid w:val="00417F94"/>
    <w:rsid w:val="004215C6"/>
    <w:rsid w:val="00421E0F"/>
    <w:rsid w:val="00423438"/>
    <w:rsid w:val="00423891"/>
    <w:rsid w:val="004265BD"/>
    <w:rsid w:val="00431975"/>
    <w:rsid w:val="00435D6F"/>
    <w:rsid w:val="00441033"/>
    <w:rsid w:val="00442500"/>
    <w:rsid w:val="00443561"/>
    <w:rsid w:val="004453F6"/>
    <w:rsid w:val="00445E61"/>
    <w:rsid w:val="004546FF"/>
    <w:rsid w:val="0046159A"/>
    <w:rsid w:val="00464B0C"/>
    <w:rsid w:val="00467123"/>
    <w:rsid w:val="00467D61"/>
    <w:rsid w:val="004706A2"/>
    <w:rsid w:val="00471654"/>
    <w:rsid w:val="004726F9"/>
    <w:rsid w:val="00473CF0"/>
    <w:rsid w:val="004774C4"/>
    <w:rsid w:val="00477F54"/>
    <w:rsid w:val="00480A73"/>
    <w:rsid w:val="00480DA8"/>
    <w:rsid w:val="004840DE"/>
    <w:rsid w:val="00485F21"/>
    <w:rsid w:val="00486FA8"/>
    <w:rsid w:val="00487B5A"/>
    <w:rsid w:val="00490161"/>
    <w:rsid w:val="00490B5F"/>
    <w:rsid w:val="00493014"/>
    <w:rsid w:val="00493844"/>
    <w:rsid w:val="00493C5F"/>
    <w:rsid w:val="0049426D"/>
    <w:rsid w:val="00494C2C"/>
    <w:rsid w:val="00494F9C"/>
    <w:rsid w:val="00495852"/>
    <w:rsid w:val="004A0E54"/>
    <w:rsid w:val="004A19A2"/>
    <w:rsid w:val="004A21C5"/>
    <w:rsid w:val="004A7B87"/>
    <w:rsid w:val="004B1B0F"/>
    <w:rsid w:val="004B3170"/>
    <w:rsid w:val="004C6286"/>
    <w:rsid w:val="004D03B5"/>
    <w:rsid w:val="004D03D9"/>
    <w:rsid w:val="004D21A9"/>
    <w:rsid w:val="004D22FE"/>
    <w:rsid w:val="004D4EDF"/>
    <w:rsid w:val="004D5FE6"/>
    <w:rsid w:val="004D6301"/>
    <w:rsid w:val="004D6B5C"/>
    <w:rsid w:val="004D7E9A"/>
    <w:rsid w:val="004E0075"/>
    <w:rsid w:val="004E0418"/>
    <w:rsid w:val="004E28EF"/>
    <w:rsid w:val="004E2BFB"/>
    <w:rsid w:val="004E4A4D"/>
    <w:rsid w:val="004E76A9"/>
    <w:rsid w:val="004F0F17"/>
    <w:rsid w:val="004F1136"/>
    <w:rsid w:val="004F1476"/>
    <w:rsid w:val="00500706"/>
    <w:rsid w:val="00502135"/>
    <w:rsid w:val="00502900"/>
    <w:rsid w:val="005033C2"/>
    <w:rsid w:val="00504D63"/>
    <w:rsid w:val="00507352"/>
    <w:rsid w:val="00507EE6"/>
    <w:rsid w:val="00510358"/>
    <w:rsid w:val="0051081F"/>
    <w:rsid w:val="00510928"/>
    <w:rsid w:val="00510C10"/>
    <w:rsid w:val="0051102E"/>
    <w:rsid w:val="005122AE"/>
    <w:rsid w:val="00513A4D"/>
    <w:rsid w:val="005146CC"/>
    <w:rsid w:val="00514C4B"/>
    <w:rsid w:val="005156BD"/>
    <w:rsid w:val="0052003B"/>
    <w:rsid w:val="005225B0"/>
    <w:rsid w:val="0052328C"/>
    <w:rsid w:val="005248C0"/>
    <w:rsid w:val="00527043"/>
    <w:rsid w:val="0052766D"/>
    <w:rsid w:val="00532147"/>
    <w:rsid w:val="0053275D"/>
    <w:rsid w:val="00532A51"/>
    <w:rsid w:val="005333E9"/>
    <w:rsid w:val="0053431B"/>
    <w:rsid w:val="00537B18"/>
    <w:rsid w:val="005469BE"/>
    <w:rsid w:val="005477BF"/>
    <w:rsid w:val="00551150"/>
    <w:rsid w:val="00551DDD"/>
    <w:rsid w:val="0055392A"/>
    <w:rsid w:val="0055420D"/>
    <w:rsid w:val="00554A75"/>
    <w:rsid w:val="0055556B"/>
    <w:rsid w:val="00556A8F"/>
    <w:rsid w:val="005573E8"/>
    <w:rsid w:val="0055744E"/>
    <w:rsid w:val="00560EFD"/>
    <w:rsid w:val="005610EF"/>
    <w:rsid w:val="00562342"/>
    <w:rsid w:val="00562412"/>
    <w:rsid w:val="005640C5"/>
    <w:rsid w:val="005728A2"/>
    <w:rsid w:val="005729F9"/>
    <w:rsid w:val="00576C55"/>
    <w:rsid w:val="00577B74"/>
    <w:rsid w:val="00580A15"/>
    <w:rsid w:val="005816D8"/>
    <w:rsid w:val="0058322A"/>
    <w:rsid w:val="00583BBA"/>
    <w:rsid w:val="0058576E"/>
    <w:rsid w:val="00586878"/>
    <w:rsid w:val="00586909"/>
    <w:rsid w:val="00587A10"/>
    <w:rsid w:val="00587F2C"/>
    <w:rsid w:val="00590ECF"/>
    <w:rsid w:val="00592021"/>
    <w:rsid w:val="00593315"/>
    <w:rsid w:val="00593DFD"/>
    <w:rsid w:val="00593FBB"/>
    <w:rsid w:val="005946FD"/>
    <w:rsid w:val="00594EB0"/>
    <w:rsid w:val="005968F8"/>
    <w:rsid w:val="00597509"/>
    <w:rsid w:val="005A2626"/>
    <w:rsid w:val="005A3A5C"/>
    <w:rsid w:val="005A4A2A"/>
    <w:rsid w:val="005A5035"/>
    <w:rsid w:val="005A7F9E"/>
    <w:rsid w:val="005A7FCF"/>
    <w:rsid w:val="005B2955"/>
    <w:rsid w:val="005B3687"/>
    <w:rsid w:val="005B3DC1"/>
    <w:rsid w:val="005B4001"/>
    <w:rsid w:val="005B7142"/>
    <w:rsid w:val="005B79D3"/>
    <w:rsid w:val="005C205F"/>
    <w:rsid w:val="005C2984"/>
    <w:rsid w:val="005C32DB"/>
    <w:rsid w:val="005C459A"/>
    <w:rsid w:val="005C6CBE"/>
    <w:rsid w:val="005C6DA1"/>
    <w:rsid w:val="005D07F0"/>
    <w:rsid w:val="005D0D51"/>
    <w:rsid w:val="005D2615"/>
    <w:rsid w:val="005D2997"/>
    <w:rsid w:val="005D3A61"/>
    <w:rsid w:val="005D48B9"/>
    <w:rsid w:val="005D4B7A"/>
    <w:rsid w:val="005D76CB"/>
    <w:rsid w:val="005D78DF"/>
    <w:rsid w:val="005E19CE"/>
    <w:rsid w:val="005E2EDF"/>
    <w:rsid w:val="005E4022"/>
    <w:rsid w:val="005E7FA5"/>
    <w:rsid w:val="005F01B2"/>
    <w:rsid w:val="005F19F8"/>
    <w:rsid w:val="005F1E1F"/>
    <w:rsid w:val="005F3ED2"/>
    <w:rsid w:val="005F4700"/>
    <w:rsid w:val="005F5D1E"/>
    <w:rsid w:val="005F7287"/>
    <w:rsid w:val="0060010F"/>
    <w:rsid w:val="00601077"/>
    <w:rsid w:val="00601F9B"/>
    <w:rsid w:val="006035AC"/>
    <w:rsid w:val="006055D0"/>
    <w:rsid w:val="0060711B"/>
    <w:rsid w:val="00607425"/>
    <w:rsid w:val="0060786C"/>
    <w:rsid w:val="006159FA"/>
    <w:rsid w:val="00616196"/>
    <w:rsid w:val="00616564"/>
    <w:rsid w:val="00616C88"/>
    <w:rsid w:val="006237CE"/>
    <w:rsid w:val="00623EBD"/>
    <w:rsid w:val="006247E3"/>
    <w:rsid w:val="00625898"/>
    <w:rsid w:val="00627761"/>
    <w:rsid w:val="00630692"/>
    <w:rsid w:val="00633E56"/>
    <w:rsid w:val="00640072"/>
    <w:rsid w:val="00642444"/>
    <w:rsid w:val="00642A17"/>
    <w:rsid w:val="00643BB2"/>
    <w:rsid w:val="006453A1"/>
    <w:rsid w:val="00645857"/>
    <w:rsid w:val="006462B3"/>
    <w:rsid w:val="00646852"/>
    <w:rsid w:val="00646A39"/>
    <w:rsid w:val="00651A80"/>
    <w:rsid w:val="00652CA9"/>
    <w:rsid w:val="00654615"/>
    <w:rsid w:val="00655399"/>
    <w:rsid w:val="006556AA"/>
    <w:rsid w:val="00656D5F"/>
    <w:rsid w:val="00657AD5"/>
    <w:rsid w:val="00660549"/>
    <w:rsid w:val="006609E2"/>
    <w:rsid w:val="0066113E"/>
    <w:rsid w:val="006611C5"/>
    <w:rsid w:val="00661B20"/>
    <w:rsid w:val="00663EAF"/>
    <w:rsid w:val="006643C3"/>
    <w:rsid w:val="00665A46"/>
    <w:rsid w:val="006660BF"/>
    <w:rsid w:val="00666D81"/>
    <w:rsid w:val="0066780E"/>
    <w:rsid w:val="00670AEB"/>
    <w:rsid w:val="0067240C"/>
    <w:rsid w:val="00672766"/>
    <w:rsid w:val="00672D1D"/>
    <w:rsid w:val="00673148"/>
    <w:rsid w:val="00674181"/>
    <w:rsid w:val="00674F2B"/>
    <w:rsid w:val="00676963"/>
    <w:rsid w:val="00676979"/>
    <w:rsid w:val="00677492"/>
    <w:rsid w:val="00681440"/>
    <w:rsid w:val="00681A2E"/>
    <w:rsid w:val="00682719"/>
    <w:rsid w:val="00682A29"/>
    <w:rsid w:val="00683AFB"/>
    <w:rsid w:val="00686C19"/>
    <w:rsid w:val="00686DDB"/>
    <w:rsid w:val="006870A4"/>
    <w:rsid w:val="00687300"/>
    <w:rsid w:val="006873DD"/>
    <w:rsid w:val="006878D7"/>
    <w:rsid w:val="00690FD4"/>
    <w:rsid w:val="00691FA9"/>
    <w:rsid w:val="00694E66"/>
    <w:rsid w:val="006950AA"/>
    <w:rsid w:val="006964F0"/>
    <w:rsid w:val="006969F1"/>
    <w:rsid w:val="00697F97"/>
    <w:rsid w:val="006A040E"/>
    <w:rsid w:val="006A1BE2"/>
    <w:rsid w:val="006A2644"/>
    <w:rsid w:val="006A26B2"/>
    <w:rsid w:val="006A3BF6"/>
    <w:rsid w:val="006A49D9"/>
    <w:rsid w:val="006A70D8"/>
    <w:rsid w:val="006A7201"/>
    <w:rsid w:val="006B0B0C"/>
    <w:rsid w:val="006B2CFC"/>
    <w:rsid w:val="006C1F95"/>
    <w:rsid w:val="006C3067"/>
    <w:rsid w:val="006C3869"/>
    <w:rsid w:val="006C4BE2"/>
    <w:rsid w:val="006D0348"/>
    <w:rsid w:val="006D3F5B"/>
    <w:rsid w:val="006D618D"/>
    <w:rsid w:val="006D76DF"/>
    <w:rsid w:val="006E09CC"/>
    <w:rsid w:val="006E2CE5"/>
    <w:rsid w:val="006E633F"/>
    <w:rsid w:val="006F04FF"/>
    <w:rsid w:val="006F057F"/>
    <w:rsid w:val="006F07E1"/>
    <w:rsid w:val="006F2FFD"/>
    <w:rsid w:val="006F68EB"/>
    <w:rsid w:val="006F6F2E"/>
    <w:rsid w:val="00704139"/>
    <w:rsid w:val="00706149"/>
    <w:rsid w:val="00706221"/>
    <w:rsid w:val="00706B03"/>
    <w:rsid w:val="00710EF8"/>
    <w:rsid w:val="00714B06"/>
    <w:rsid w:val="00714DC1"/>
    <w:rsid w:val="007179E4"/>
    <w:rsid w:val="00717AC3"/>
    <w:rsid w:val="00717F53"/>
    <w:rsid w:val="0072029B"/>
    <w:rsid w:val="0072083D"/>
    <w:rsid w:val="00720ADB"/>
    <w:rsid w:val="0072143C"/>
    <w:rsid w:val="007237FB"/>
    <w:rsid w:val="007263ED"/>
    <w:rsid w:val="00727D5F"/>
    <w:rsid w:val="00727D79"/>
    <w:rsid w:val="00731C36"/>
    <w:rsid w:val="007352B1"/>
    <w:rsid w:val="00740CF8"/>
    <w:rsid w:val="0074112E"/>
    <w:rsid w:val="00743516"/>
    <w:rsid w:val="00745AAF"/>
    <w:rsid w:val="0075251D"/>
    <w:rsid w:val="00753483"/>
    <w:rsid w:val="007535ED"/>
    <w:rsid w:val="0075360D"/>
    <w:rsid w:val="00754CEB"/>
    <w:rsid w:val="007553D9"/>
    <w:rsid w:val="00755A4E"/>
    <w:rsid w:val="00755D98"/>
    <w:rsid w:val="00764501"/>
    <w:rsid w:val="007652FE"/>
    <w:rsid w:val="00765BEF"/>
    <w:rsid w:val="00765DB5"/>
    <w:rsid w:val="0076706D"/>
    <w:rsid w:val="00772F36"/>
    <w:rsid w:val="00773874"/>
    <w:rsid w:val="0077521F"/>
    <w:rsid w:val="007754EE"/>
    <w:rsid w:val="007760FF"/>
    <w:rsid w:val="0077647E"/>
    <w:rsid w:val="00776F07"/>
    <w:rsid w:val="00777335"/>
    <w:rsid w:val="00781A96"/>
    <w:rsid w:val="00782274"/>
    <w:rsid w:val="0078351A"/>
    <w:rsid w:val="007845BD"/>
    <w:rsid w:val="00785217"/>
    <w:rsid w:val="007854BF"/>
    <w:rsid w:val="007909B5"/>
    <w:rsid w:val="00791DE8"/>
    <w:rsid w:val="0079255F"/>
    <w:rsid w:val="00792971"/>
    <w:rsid w:val="0079345B"/>
    <w:rsid w:val="00793DC7"/>
    <w:rsid w:val="00794023"/>
    <w:rsid w:val="007959A7"/>
    <w:rsid w:val="00795D36"/>
    <w:rsid w:val="007A0311"/>
    <w:rsid w:val="007A2F8B"/>
    <w:rsid w:val="007A3570"/>
    <w:rsid w:val="007A5A41"/>
    <w:rsid w:val="007A6040"/>
    <w:rsid w:val="007B021A"/>
    <w:rsid w:val="007B183A"/>
    <w:rsid w:val="007B1B3D"/>
    <w:rsid w:val="007B4287"/>
    <w:rsid w:val="007B4AA5"/>
    <w:rsid w:val="007B540F"/>
    <w:rsid w:val="007B5F37"/>
    <w:rsid w:val="007B7225"/>
    <w:rsid w:val="007B7338"/>
    <w:rsid w:val="007B7DA9"/>
    <w:rsid w:val="007C0996"/>
    <w:rsid w:val="007C1361"/>
    <w:rsid w:val="007C1578"/>
    <w:rsid w:val="007C15B7"/>
    <w:rsid w:val="007C1E23"/>
    <w:rsid w:val="007C2673"/>
    <w:rsid w:val="007C4406"/>
    <w:rsid w:val="007C54F3"/>
    <w:rsid w:val="007C758F"/>
    <w:rsid w:val="007D256D"/>
    <w:rsid w:val="007D3E9B"/>
    <w:rsid w:val="007D4180"/>
    <w:rsid w:val="007D5AFE"/>
    <w:rsid w:val="007D5B0E"/>
    <w:rsid w:val="007E04BB"/>
    <w:rsid w:val="007E172C"/>
    <w:rsid w:val="007E17EE"/>
    <w:rsid w:val="007E3E14"/>
    <w:rsid w:val="007E5C34"/>
    <w:rsid w:val="007E6B6B"/>
    <w:rsid w:val="007E75BA"/>
    <w:rsid w:val="007F060C"/>
    <w:rsid w:val="007F0A62"/>
    <w:rsid w:val="007F43E8"/>
    <w:rsid w:val="007F5830"/>
    <w:rsid w:val="007F7713"/>
    <w:rsid w:val="008028F2"/>
    <w:rsid w:val="00804E42"/>
    <w:rsid w:val="00811194"/>
    <w:rsid w:val="00812E17"/>
    <w:rsid w:val="00812F3E"/>
    <w:rsid w:val="008149F5"/>
    <w:rsid w:val="00816B05"/>
    <w:rsid w:val="0081715C"/>
    <w:rsid w:val="008207E2"/>
    <w:rsid w:val="008219A6"/>
    <w:rsid w:val="00821CEC"/>
    <w:rsid w:val="00823C0F"/>
    <w:rsid w:val="00823D85"/>
    <w:rsid w:val="0082578B"/>
    <w:rsid w:val="00825A97"/>
    <w:rsid w:val="008263F1"/>
    <w:rsid w:val="00827129"/>
    <w:rsid w:val="008313DA"/>
    <w:rsid w:val="008334CD"/>
    <w:rsid w:val="00833B5E"/>
    <w:rsid w:val="0083500F"/>
    <w:rsid w:val="0084198D"/>
    <w:rsid w:val="00841DCF"/>
    <w:rsid w:val="00842C8E"/>
    <w:rsid w:val="0084591E"/>
    <w:rsid w:val="008465AC"/>
    <w:rsid w:val="008543D8"/>
    <w:rsid w:val="00854A81"/>
    <w:rsid w:val="00854B1C"/>
    <w:rsid w:val="00855048"/>
    <w:rsid w:val="00855422"/>
    <w:rsid w:val="008561E0"/>
    <w:rsid w:val="00856A1D"/>
    <w:rsid w:val="0086118C"/>
    <w:rsid w:val="008616B9"/>
    <w:rsid w:val="008642FC"/>
    <w:rsid w:val="0086537D"/>
    <w:rsid w:val="0086598A"/>
    <w:rsid w:val="00865D20"/>
    <w:rsid w:val="008662F2"/>
    <w:rsid w:val="00870F47"/>
    <w:rsid w:val="008711F9"/>
    <w:rsid w:val="00873A61"/>
    <w:rsid w:val="00874232"/>
    <w:rsid w:val="008755E1"/>
    <w:rsid w:val="008762A8"/>
    <w:rsid w:val="008779D8"/>
    <w:rsid w:val="00880421"/>
    <w:rsid w:val="00881075"/>
    <w:rsid w:val="008811D1"/>
    <w:rsid w:val="008824F2"/>
    <w:rsid w:val="00883236"/>
    <w:rsid w:val="008874C2"/>
    <w:rsid w:val="00892B9B"/>
    <w:rsid w:val="008948AE"/>
    <w:rsid w:val="00895220"/>
    <w:rsid w:val="00895593"/>
    <w:rsid w:val="0089686E"/>
    <w:rsid w:val="00897E32"/>
    <w:rsid w:val="008A0447"/>
    <w:rsid w:val="008A115E"/>
    <w:rsid w:val="008A1440"/>
    <w:rsid w:val="008A1652"/>
    <w:rsid w:val="008A182E"/>
    <w:rsid w:val="008A7A11"/>
    <w:rsid w:val="008B035F"/>
    <w:rsid w:val="008B0E23"/>
    <w:rsid w:val="008B1078"/>
    <w:rsid w:val="008B18FE"/>
    <w:rsid w:val="008B1B97"/>
    <w:rsid w:val="008B1DFE"/>
    <w:rsid w:val="008B2AF9"/>
    <w:rsid w:val="008B3861"/>
    <w:rsid w:val="008B3A8F"/>
    <w:rsid w:val="008B506C"/>
    <w:rsid w:val="008B54EF"/>
    <w:rsid w:val="008B58F2"/>
    <w:rsid w:val="008B5C70"/>
    <w:rsid w:val="008B676D"/>
    <w:rsid w:val="008B69E9"/>
    <w:rsid w:val="008B74CE"/>
    <w:rsid w:val="008C048C"/>
    <w:rsid w:val="008C1910"/>
    <w:rsid w:val="008C4C55"/>
    <w:rsid w:val="008C6FD9"/>
    <w:rsid w:val="008D01BF"/>
    <w:rsid w:val="008D088E"/>
    <w:rsid w:val="008D1C62"/>
    <w:rsid w:val="008D1CFE"/>
    <w:rsid w:val="008D23C0"/>
    <w:rsid w:val="008D3EB2"/>
    <w:rsid w:val="008D5113"/>
    <w:rsid w:val="008D5BEE"/>
    <w:rsid w:val="008E1C88"/>
    <w:rsid w:val="008E1D40"/>
    <w:rsid w:val="008E1D94"/>
    <w:rsid w:val="008E228B"/>
    <w:rsid w:val="008E5103"/>
    <w:rsid w:val="008E6245"/>
    <w:rsid w:val="008E6960"/>
    <w:rsid w:val="008E755D"/>
    <w:rsid w:val="008E7F9D"/>
    <w:rsid w:val="008F0546"/>
    <w:rsid w:val="008F093B"/>
    <w:rsid w:val="008F10CC"/>
    <w:rsid w:val="008F1EE5"/>
    <w:rsid w:val="008F210B"/>
    <w:rsid w:val="008F3F39"/>
    <w:rsid w:val="008F3F73"/>
    <w:rsid w:val="008F4755"/>
    <w:rsid w:val="008F7522"/>
    <w:rsid w:val="008F7A4D"/>
    <w:rsid w:val="00900B76"/>
    <w:rsid w:val="00902A59"/>
    <w:rsid w:val="00903684"/>
    <w:rsid w:val="00906588"/>
    <w:rsid w:val="0090692F"/>
    <w:rsid w:val="0091051A"/>
    <w:rsid w:val="009105B2"/>
    <w:rsid w:val="00913851"/>
    <w:rsid w:val="009160FB"/>
    <w:rsid w:val="00916850"/>
    <w:rsid w:val="00917E38"/>
    <w:rsid w:val="00920600"/>
    <w:rsid w:val="00921314"/>
    <w:rsid w:val="0092580D"/>
    <w:rsid w:val="00926C20"/>
    <w:rsid w:val="00930795"/>
    <w:rsid w:val="009352F7"/>
    <w:rsid w:val="009362D8"/>
    <w:rsid w:val="009376FE"/>
    <w:rsid w:val="00940665"/>
    <w:rsid w:val="0094119E"/>
    <w:rsid w:val="0094173C"/>
    <w:rsid w:val="00944E78"/>
    <w:rsid w:val="00945B73"/>
    <w:rsid w:val="009462C5"/>
    <w:rsid w:val="00946715"/>
    <w:rsid w:val="00946AAB"/>
    <w:rsid w:val="00947EAF"/>
    <w:rsid w:val="009505E2"/>
    <w:rsid w:val="00951BEC"/>
    <w:rsid w:val="00952CED"/>
    <w:rsid w:val="009609E4"/>
    <w:rsid w:val="00960F8F"/>
    <w:rsid w:val="00961EDA"/>
    <w:rsid w:val="00963516"/>
    <w:rsid w:val="009703B8"/>
    <w:rsid w:val="00970871"/>
    <w:rsid w:val="00972A8A"/>
    <w:rsid w:val="00973AEE"/>
    <w:rsid w:val="009742F0"/>
    <w:rsid w:val="00974938"/>
    <w:rsid w:val="00977BC0"/>
    <w:rsid w:val="00977E76"/>
    <w:rsid w:val="0098400A"/>
    <w:rsid w:val="009877B7"/>
    <w:rsid w:val="00987F7A"/>
    <w:rsid w:val="00990F29"/>
    <w:rsid w:val="009944D8"/>
    <w:rsid w:val="00996533"/>
    <w:rsid w:val="0099715A"/>
    <w:rsid w:val="009A1649"/>
    <w:rsid w:val="009A2083"/>
    <w:rsid w:val="009A3776"/>
    <w:rsid w:val="009A4197"/>
    <w:rsid w:val="009A516B"/>
    <w:rsid w:val="009B0975"/>
    <w:rsid w:val="009B50DC"/>
    <w:rsid w:val="009B6433"/>
    <w:rsid w:val="009B6BC0"/>
    <w:rsid w:val="009B6C27"/>
    <w:rsid w:val="009B75E6"/>
    <w:rsid w:val="009B7675"/>
    <w:rsid w:val="009C0B0C"/>
    <w:rsid w:val="009C2D20"/>
    <w:rsid w:val="009C38DA"/>
    <w:rsid w:val="009C51F0"/>
    <w:rsid w:val="009D2E7C"/>
    <w:rsid w:val="009D4AD1"/>
    <w:rsid w:val="009E1A86"/>
    <w:rsid w:val="009E2ECE"/>
    <w:rsid w:val="009E443D"/>
    <w:rsid w:val="009E5863"/>
    <w:rsid w:val="009E6C4A"/>
    <w:rsid w:val="009F1FAE"/>
    <w:rsid w:val="009F240D"/>
    <w:rsid w:val="009F5574"/>
    <w:rsid w:val="009F6C58"/>
    <w:rsid w:val="009F6EB2"/>
    <w:rsid w:val="00A03611"/>
    <w:rsid w:val="00A1059C"/>
    <w:rsid w:val="00A11567"/>
    <w:rsid w:val="00A15C96"/>
    <w:rsid w:val="00A16593"/>
    <w:rsid w:val="00A17030"/>
    <w:rsid w:val="00A17D49"/>
    <w:rsid w:val="00A21EA3"/>
    <w:rsid w:val="00A23044"/>
    <w:rsid w:val="00A276CE"/>
    <w:rsid w:val="00A27EB6"/>
    <w:rsid w:val="00A30B39"/>
    <w:rsid w:val="00A30E59"/>
    <w:rsid w:val="00A31366"/>
    <w:rsid w:val="00A32221"/>
    <w:rsid w:val="00A32ADD"/>
    <w:rsid w:val="00A334B3"/>
    <w:rsid w:val="00A34C93"/>
    <w:rsid w:val="00A37C7D"/>
    <w:rsid w:val="00A41DC0"/>
    <w:rsid w:val="00A43C72"/>
    <w:rsid w:val="00A44B8B"/>
    <w:rsid w:val="00A53288"/>
    <w:rsid w:val="00A54493"/>
    <w:rsid w:val="00A54E3A"/>
    <w:rsid w:val="00A576CA"/>
    <w:rsid w:val="00A7092A"/>
    <w:rsid w:val="00A70D37"/>
    <w:rsid w:val="00A7268B"/>
    <w:rsid w:val="00A74E87"/>
    <w:rsid w:val="00A764FC"/>
    <w:rsid w:val="00A76AA2"/>
    <w:rsid w:val="00A814CE"/>
    <w:rsid w:val="00A82722"/>
    <w:rsid w:val="00A83757"/>
    <w:rsid w:val="00A837B7"/>
    <w:rsid w:val="00A84961"/>
    <w:rsid w:val="00A86186"/>
    <w:rsid w:val="00A90A3F"/>
    <w:rsid w:val="00A9291B"/>
    <w:rsid w:val="00A93525"/>
    <w:rsid w:val="00A97AE6"/>
    <w:rsid w:val="00AA2560"/>
    <w:rsid w:val="00AA30DF"/>
    <w:rsid w:val="00AA4BB2"/>
    <w:rsid w:val="00AA7618"/>
    <w:rsid w:val="00AA7E40"/>
    <w:rsid w:val="00AB003D"/>
    <w:rsid w:val="00AB22FE"/>
    <w:rsid w:val="00AC0E78"/>
    <w:rsid w:val="00AC2661"/>
    <w:rsid w:val="00AC2DEF"/>
    <w:rsid w:val="00AC422C"/>
    <w:rsid w:val="00AC5CCC"/>
    <w:rsid w:val="00AD081D"/>
    <w:rsid w:val="00AD5FEB"/>
    <w:rsid w:val="00AD68F3"/>
    <w:rsid w:val="00AE1229"/>
    <w:rsid w:val="00AE2882"/>
    <w:rsid w:val="00AE32D7"/>
    <w:rsid w:val="00AE6C3E"/>
    <w:rsid w:val="00AE73AC"/>
    <w:rsid w:val="00AF09D9"/>
    <w:rsid w:val="00AF0EBF"/>
    <w:rsid w:val="00AF1C82"/>
    <w:rsid w:val="00AF27BF"/>
    <w:rsid w:val="00AF352E"/>
    <w:rsid w:val="00AF370B"/>
    <w:rsid w:val="00AF582D"/>
    <w:rsid w:val="00AF603B"/>
    <w:rsid w:val="00AF6842"/>
    <w:rsid w:val="00AF6CEF"/>
    <w:rsid w:val="00B00A05"/>
    <w:rsid w:val="00B01E24"/>
    <w:rsid w:val="00B02DEB"/>
    <w:rsid w:val="00B0379A"/>
    <w:rsid w:val="00B101F7"/>
    <w:rsid w:val="00B125CF"/>
    <w:rsid w:val="00B17A3D"/>
    <w:rsid w:val="00B214CE"/>
    <w:rsid w:val="00B23022"/>
    <w:rsid w:val="00B25A5F"/>
    <w:rsid w:val="00B320A3"/>
    <w:rsid w:val="00B355F3"/>
    <w:rsid w:val="00B375CB"/>
    <w:rsid w:val="00B40B59"/>
    <w:rsid w:val="00B44185"/>
    <w:rsid w:val="00B453DD"/>
    <w:rsid w:val="00B457E5"/>
    <w:rsid w:val="00B45FA7"/>
    <w:rsid w:val="00B529EA"/>
    <w:rsid w:val="00B5313D"/>
    <w:rsid w:val="00B5393B"/>
    <w:rsid w:val="00B53F06"/>
    <w:rsid w:val="00B5516F"/>
    <w:rsid w:val="00B556D0"/>
    <w:rsid w:val="00B557BB"/>
    <w:rsid w:val="00B57AB7"/>
    <w:rsid w:val="00B60403"/>
    <w:rsid w:val="00B60BBF"/>
    <w:rsid w:val="00B61570"/>
    <w:rsid w:val="00B62BC2"/>
    <w:rsid w:val="00B63DB5"/>
    <w:rsid w:val="00B70FA1"/>
    <w:rsid w:val="00B71349"/>
    <w:rsid w:val="00B72FBD"/>
    <w:rsid w:val="00B73690"/>
    <w:rsid w:val="00B758F5"/>
    <w:rsid w:val="00B76752"/>
    <w:rsid w:val="00B8056F"/>
    <w:rsid w:val="00B82505"/>
    <w:rsid w:val="00B837C5"/>
    <w:rsid w:val="00B86461"/>
    <w:rsid w:val="00B86DA6"/>
    <w:rsid w:val="00B90CB3"/>
    <w:rsid w:val="00B940A8"/>
    <w:rsid w:val="00B94405"/>
    <w:rsid w:val="00B94765"/>
    <w:rsid w:val="00B947DB"/>
    <w:rsid w:val="00B95561"/>
    <w:rsid w:val="00B96303"/>
    <w:rsid w:val="00B97637"/>
    <w:rsid w:val="00BA349F"/>
    <w:rsid w:val="00BB2714"/>
    <w:rsid w:val="00BB286D"/>
    <w:rsid w:val="00BB4466"/>
    <w:rsid w:val="00BB4CCD"/>
    <w:rsid w:val="00BB6D59"/>
    <w:rsid w:val="00BB792F"/>
    <w:rsid w:val="00BC0817"/>
    <w:rsid w:val="00BC2C66"/>
    <w:rsid w:val="00BC33D5"/>
    <w:rsid w:val="00BC4008"/>
    <w:rsid w:val="00BC4E56"/>
    <w:rsid w:val="00BC63D9"/>
    <w:rsid w:val="00BC7948"/>
    <w:rsid w:val="00BC7B28"/>
    <w:rsid w:val="00BD1F7E"/>
    <w:rsid w:val="00BD4449"/>
    <w:rsid w:val="00BD4B0C"/>
    <w:rsid w:val="00BD5314"/>
    <w:rsid w:val="00BD5F6C"/>
    <w:rsid w:val="00BD6A0D"/>
    <w:rsid w:val="00BE34F8"/>
    <w:rsid w:val="00BE48BE"/>
    <w:rsid w:val="00BE5BAE"/>
    <w:rsid w:val="00BE6870"/>
    <w:rsid w:val="00BE7DA7"/>
    <w:rsid w:val="00BF15B7"/>
    <w:rsid w:val="00BF2948"/>
    <w:rsid w:val="00BF49C1"/>
    <w:rsid w:val="00BF6294"/>
    <w:rsid w:val="00BF674E"/>
    <w:rsid w:val="00BF74FF"/>
    <w:rsid w:val="00C048D6"/>
    <w:rsid w:val="00C049C4"/>
    <w:rsid w:val="00C05F11"/>
    <w:rsid w:val="00C06E7D"/>
    <w:rsid w:val="00C07376"/>
    <w:rsid w:val="00C077E5"/>
    <w:rsid w:val="00C13166"/>
    <w:rsid w:val="00C1323D"/>
    <w:rsid w:val="00C14FB3"/>
    <w:rsid w:val="00C155D9"/>
    <w:rsid w:val="00C169B6"/>
    <w:rsid w:val="00C172A5"/>
    <w:rsid w:val="00C17459"/>
    <w:rsid w:val="00C208D1"/>
    <w:rsid w:val="00C22DF0"/>
    <w:rsid w:val="00C2360D"/>
    <w:rsid w:val="00C23D26"/>
    <w:rsid w:val="00C250BC"/>
    <w:rsid w:val="00C2770E"/>
    <w:rsid w:val="00C2784B"/>
    <w:rsid w:val="00C3467C"/>
    <w:rsid w:val="00C3481C"/>
    <w:rsid w:val="00C377B6"/>
    <w:rsid w:val="00C37C29"/>
    <w:rsid w:val="00C406B5"/>
    <w:rsid w:val="00C438B1"/>
    <w:rsid w:val="00C44367"/>
    <w:rsid w:val="00C4444A"/>
    <w:rsid w:val="00C50604"/>
    <w:rsid w:val="00C541C7"/>
    <w:rsid w:val="00C5539F"/>
    <w:rsid w:val="00C554ED"/>
    <w:rsid w:val="00C61985"/>
    <w:rsid w:val="00C628A1"/>
    <w:rsid w:val="00C62B8D"/>
    <w:rsid w:val="00C62C8E"/>
    <w:rsid w:val="00C631C1"/>
    <w:rsid w:val="00C63AC9"/>
    <w:rsid w:val="00C66DC4"/>
    <w:rsid w:val="00C739F6"/>
    <w:rsid w:val="00C769EC"/>
    <w:rsid w:val="00C8082D"/>
    <w:rsid w:val="00C80D21"/>
    <w:rsid w:val="00C81835"/>
    <w:rsid w:val="00C82E69"/>
    <w:rsid w:val="00C82F91"/>
    <w:rsid w:val="00C83F0A"/>
    <w:rsid w:val="00C86B62"/>
    <w:rsid w:val="00C86D4E"/>
    <w:rsid w:val="00C9298C"/>
    <w:rsid w:val="00C93497"/>
    <w:rsid w:val="00C93506"/>
    <w:rsid w:val="00C9551C"/>
    <w:rsid w:val="00C963F8"/>
    <w:rsid w:val="00CA047B"/>
    <w:rsid w:val="00CA12A5"/>
    <w:rsid w:val="00CA170A"/>
    <w:rsid w:val="00CA50A8"/>
    <w:rsid w:val="00CA6A63"/>
    <w:rsid w:val="00CA7DAC"/>
    <w:rsid w:val="00CB268B"/>
    <w:rsid w:val="00CB390E"/>
    <w:rsid w:val="00CB3DBD"/>
    <w:rsid w:val="00CB4BC5"/>
    <w:rsid w:val="00CB5201"/>
    <w:rsid w:val="00CB77BB"/>
    <w:rsid w:val="00CC145C"/>
    <w:rsid w:val="00CC18FB"/>
    <w:rsid w:val="00CC393A"/>
    <w:rsid w:val="00CC5E59"/>
    <w:rsid w:val="00CC6248"/>
    <w:rsid w:val="00CC678C"/>
    <w:rsid w:val="00CC7EFB"/>
    <w:rsid w:val="00CD1AD6"/>
    <w:rsid w:val="00CD2C68"/>
    <w:rsid w:val="00CD2EC5"/>
    <w:rsid w:val="00CD76C5"/>
    <w:rsid w:val="00CD790A"/>
    <w:rsid w:val="00CD7DC7"/>
    <w:rsid w:val="00CE05D8"/>
    <w:rsid w:val="00CE6B14"/>
    <w:rsid w:val="00CF023D"/>
    <w:rsid w:val="00CF14AD"/>
    <w:rsid w:val="00CF3624"/>
    <w:rsid w:val="00CF718C"/>
    <w:rsid w:val="00D013DD"/>
    <w:rsid w:val="00D03990"/>
    <w:rsid w:val="00D0713A"/>
    <w:rsid w:val="00D1016F"/>
    <w:rsid w:val="00D10AF5"/>
    <w:rsid w:val="00D10D64"/>
    <w:rsid w:val="00D12E81"/>
    <w:rsid w:val="00D13BD9"/>
    <w:rsid w:val="00D14A62"/>
    <w:rsid w:val="00D156BA"/>
    <w:rsid w:val="00D15ED0"/>
    <w:rsid w:val="00D16FC3"/>
    <w:rsid w:val="00D17EC2"/>
    <w:rsid w:val="00D20EE9"/>
    <w:rsid w:val="00D20FAD"/>
    <w:rsid w:val="00D22EA9"/>
    <w:rsid w:val="00D23924"/>
    <w:rsid w:val="00D2600A"/>
    <w:rsid w:val="00D265A5"/>
    <w:rsid w:val="00D26A7C"/>
    <w:rsid w:val="00D30D66"/>
    <w:rsid w:val="00D31AD4"/>
    <w:rsid w:val="00D32357"/>
    <w:rsid w:val="00D32C79"/>
    <w:rsid w:val="00D3310E"/>
    <w:rsid w:val="00D33C63"/>
    <w:rsid w:val="00D33DBD"/>
    <w:rsid w:val="00D4014B"/>
    <w:rsid w:val="00D40413"/>
    <w:rsid w:val="00D404D3"/>
    <w:rsid w:val="00D407DB"/>
    <w:rsid w:val="00D42214"/>
    <w:rsid w:val="00D42EC3"/>
    <w:rsid w:val="00D43895"/>
    <w:rsid w:val="00D45C2E"/>
    <w:rsid w:val="00D51579"/>
    <w:rsid w:val="00D5225F"/>
    <w:rsid w:val="00D536F7"/>
    <w:rsid w:val="00D541C7"/>
    <w:rsid w:val="00D544B4"/>
    <w:rsid w:val="00D54EB6"/>
    <w:rsid w:val="00D60F0D"/>
    <w:rsid w:val="00D60F1D"/>
    <w:rsid w:val="00D636C7"/>
    <w:rsid w:val="00D63CA2"/>
    <w:rsid w:val="00D67572"/>
    <w:rsid w:val="00D710AA"/>
    <w:rsid w:val="00D72969"/>
    <w:rsid w:val="00D767B1"/>
    <w:rsid w:val="00D76AF5"/>
    <w:rsid w:val="00D77E80"/>
    <w:rsid w:val="00D77E99"/>
    <w:rsid w:val="00D81E84"/>
    <w:rsid w:val="00D83AE0"/>
    <w:rsid w:val="00D84EEA"/>
    <w:rsid w:val="00D84F7C"/>
    <w:rsid w:val="00D9022A"/>
    <w:rsid w:val="00D909F0"/>
    <w:rsid w:val="00D926CE"/>
    <w:rsid w:val="00D92FD4"/>
    <w:rsid w:val="00D938F7"/>
    <w:rsid w:val="00D94F3B"/>
    <w:rsid w:val="00D97C7A"/>
    <w:rsid w:val="00DA09AB"/>
    <w:rsid w:val="00DA31BC"/>
    <w:rsid w:val="00DA358C"/>
    <w:rsid w:val="00DA5D9B"/>
    <w:rsid w:val="00DA642F"/>
    <w:rsid w:val="00DB0CF7"/>
    <w:rsid w:val="00DB1082"/>
    <w:rsid w:val="00DB10C7"/>
    <w:rsid w:val="00DB4E66"/>
    <w:rsid w:val="00DB7C1D"/>
    <w:rsid w:val="00DC3D86"/>
    <w:rsid w:val="00DC4514"/>
    <w:rsid w:val="00DC4A2E"/>
    <w:rsid w:val="00DD0DDE"/>
    <w:rsid w:val="00DD1BDA"/>
    <w:rsid w:val="00DD3F1D"/>
    <w:rsid w:val="00DD7A51"/>
    <w:rsid w:val="00DD7B6C"/>
    <w:rsid w:val="00DE040A"/>
    <w:rsid w:val="00DE1725"/>
    <w:rsid w:val="00DE2A3F"/>
    <w:rsid w:val="00DE319F"/>
    <w:rsid w:val="00DE395A"/>
    <w:rsid w:val="00DE3D33"/>
    <w:rsid w:val="00DE6921"/>
    <w:rsid w:val="00DF3544"/>
    <w:rsid w:val="00DF36B9"/>
    <w:rsid w:val="00DF379A"/>
    <w:rsid w:val="00DF5262"/>
    <w:rsid w:val="00DF69AC"/>
    <w:rsid w:val="00E0003B"/>
    <w:rsid w:val="00E0016B"/>
    <w:rsid w:val="00E02E86"/>
    <w:rsid w:val="00E04A6B"/>
    <w:rsid w:val="00E04ECE"/>
    <w:rsid w:val="00E0520B"/>
    <w:rsid w:val="00E05E36"/>
    <w:rsid w:val="00E068D9"/>
    <w:rsid w:val="00E074EB"/>
    <w:rsid w:val="00E1280B"/>
    <w:rsid w:val="00E134CA"/>
    <w:rsid w:val="00E157E7"/>
    <w:rsid w:val="00E15CA7"/>
    <w:rsid w:val="00E173C4"/>
    <w:rsid w:val="00E2067C"/>
    <w:rsid w:val="00E206E1"/>
    <w:rsid w:val="00E206F6"/>
    <w:rsid w:val="00E209A8"/>
    <w:rsid w:val="00E214BD"/>
    <w:rsid w:val="00E21823"/>
    <w:rsid w:val="00E22750"/>
    <w:rsid w:val="00E22F06"/>
    <w:rsid w:val="00E231E2"/>
    <w:rsid w:val="00E32640"/>
    <w:rsid w:val="00E327F2"/>
    <w:rsid w:val="00E33D03"/>
    <w:rsid w:val="00E340C0"/>
    <w:rsid w:val="00E34CA3"/>
    <w:rsid w:val="00E3592E"/>
    <w:rsid w:val="00E374A3"/>
    <w:rsid w:val="00E3773E"/>
    <w:rsid w:val="00E403B2"/>
    <w:rsid w:val="00E417D6"/>
    <w:rsid w:val="00E42D63"/>
    <w:rsid w:val="00E432E0"/>
    <w:rsid w:val="00E43702"/>
    <w:rsid w:val="00E4396B"/>
    <w:rsid w:val="00E43D1C"/>
    <w:rsid w:val="00E45509"/>
    <w:rsid w:val="00E455F3"/>
    <w:rsid w:val="00E45B32"/>
    <w:rsid w:val="00E45CB5"/>
    <w:rsid w:val="00E46694"/>
    <w:rsid w:val="00E466E3"/>
    <w:rsid w:val="00E46C82"/>
    <w:rsid w:val="00E4707C"/>
    <w:rsid w:val="00E47296"/>
    <w:rsid w:val="00E4755C"/>
    <w:rsid w:val="00E4792D"/>
    <w:rsid w:val="00E52127"/>
    <w:rsid w:val="00E52493"/>
    <w:rsid w:val="00E53E66"/>
    <w:rsid w:val="00E54CE3"/>
    <w:rsid w:val="00E572F8"/>
    <w:rsid w:val="00E57A2D"/>
    <w:rsid w:val="00E57F81"/>
    <w:rsid w:val="00E60CE4"/>
    <w:rsid w:val="00E615E5"/>
    <w:rsid w:val="00E6301E"/>
    <w:rsid w:val="00E63687"/>
    <w:rsid w:val="00E63FF4"/>
    <w:rsid w:val="00E67045"/>
    <w:rsid w:val="00E6704D"/>
    <w:rsid w:val="00E67C6A"/>
    <w:rsid w:val="00E703BD"/>
    <w:rsid w:val="00E74196"/>
    <w:rsid w:val="00E75C4C"/>
    <w:rsid w:val="00E75E8F"/>
    <w:rsid w:val="00E80AFA"/>
    <w:rsid w:val="00E8176E"/>
    <w:rsid w:val="00E817F3"/>
    <w:rsid w:val="00E8239B"/>
    <w:rsid w:val="00E827B2"/>
    <w:rsid w:val="00E85796"/>
    <w:rsid w:val="00E870B2"/>
    <w:rsid w:val="00E90B17"/>
    <w:rsid w:val="00E90D43"/>
    <w:rsid w:val="00E93065"/>
    <w:rsid w:val="00E93327"/>
    <w:rsid w:val="00E94726"/>
    <w:rsid w:val="00E9548D"/>
    <w:rsid w:val="00E957F4"/>
    <w:rsid w:val="00E96F91"/>
    <w:rsid w:val="00E97245"/>
    <w:rsid w:val="00EA1116"/>
    <w:rsid w:val="00EA1F7F"/>
    <w:rsid w:val="00EB003F"/>
    <w:rsid w:val="00EB13D9"/>
    <w:rsid w:val="00EB2C5A"/>
    <w:rsid w:val="00EB47E3"/>
    <w:rsid w:val="00EB79BF"/>
    <w:rsid w:val="00EC43F6"/>
    <w:rsid w:val="00EC62A4"/>
    <w:rsid w:val="00ED0440"/>
    <w:rsid w:val="00ED0A93"/>
    <w:rsid w:val="00ED18C0"/>
    <w:rsid w:val="00ED1B72"/>
    <w:rsid w:val="00ED37E3"/>
    <w:rsid w:val="00ED3B35"/>
    <w:rsid w:val="00ED3F97"/>
    <w:rsid w:val="00ED4289"/>
    <w:rsid w:val="00ED44B7"/>
    <w:rsid w:val="00ED699E"/>
    <w:rsid w:val="00ED6D1B"/>
    <w:rsid w:val="00EE61DA"/>
    <w:rsid w:val="00EE6AB7"/>
    <w:rsid w:val="00EF0A86"/>
    <w:rsid w:val="00EF6156"/>
    <w:rsid w:val="00F00032"/>
    <w:rsid w:val="00F00CB3"/>
    <w:rsid w:val="00F01BB3"/>
    <w:rsid w:val="00F03FC0"/>
    <w:rsid w:val="00F045A5"/>
    <w:rsid w:val="00F051ED"/>
    <w:rsid w:val="00F057EE"/>
    <w:rsid w:val="00F05A40"/>
    <w:rsid w:val="00F05D91"/>
    <w:rsid w:val="00F10AC2"/>
    <w:rsid w:val="00F11BBE"/>
    <w:rsid w:val="00F121F4"/>
    <w:rsid w:val="00F17A41"/>
    <w:rsid w:val="00F17E03"/>
    <w:rsid w:val="00F2245D"/>
    <w:rsid w:val="00F2268B"/>
    <w:rsid w:val="00F265AB"/>
    <w:rsid w:val="00F26608"/>
    <w:rsid w:val="00F272FB"/>
    <w:rsid w:val="00F3023C"/>
    <w:rsid w:val="00F345D3"/>
    <w:rsid w:val="00F35C11"/>
    <w:rsid w:val="00F36C6F"/>
    <w:rsid w:val="00F40CD5"/>
    <w:rsid w:val="00F41267"/>
    <w:rsid w:val="00F42DAD"/>
    <w:rsid w:val="00F434CE"/>
    <w:rsid w:val="00F43ED0"/>
    <w:rsid w:val="00F44575"/>
    <w:rsid w:val="00F448B4"/>
    <w:rsid w:val="00F4602C"/>
    <w:rsid w:val="00F4653F"/>
    <w:rsid w:val="00F4699D"/>
    <w:rsid w:val="00F502F7"/>
    <w:rsid w:val="00F503ED"/>
    <w:rsid w:val="00F50DFB"/>
    <w:rsid w:val="00F51FDF"/>
    <w:rsid w:val="00F523F4"/>
    <w:rsid w:val="00F525D6"/>
    <w:rsid w:val="00F557F3"/>
    <w:rsid w:val="00F604B7"/>
    <w:rsid w:val="00F620D6"/>
    <w:rsid w:val="00F63617"/>
    <w:rsid w:val="00F671A1"/>
    <w:rsid w:val="00F73207"/>
    <w:rsid w:val="00F758F5"/>
    <w:rsid w:val="00F76453"/>
    <w:rsid w:val="00F7678E"/>
    <w:rsid w:val="00F7738E"/>
    <w:rsid w:val="00F77E09"/>
    <w:rsid w:val="00F81476"/>
    <w:rsid w:val="00F826B4"/>
    <w:rsid w:val="00F827F7"/>
    <w:rsid w:val="00F82E54"/>
    <w:rsid w:val="00F846DA"/>
    <w:rsid w:val="00F85C13"/>
    <w:rsid w:val="00F86D01"/>
    <w:rsid w:val="00F87FD8"/>
    <w:rsid w:val="00F905F4"/>
    <w:rsid w:val="00F90626"/>
    <w:rsid w:val="00F91153"/>
    <w:rsid w:val="00F9148A"/>
    <w:rsid w:val="00F949B4"/>
    <w:rsid w:val="00F95DCE"/>
    <w:rsid w:val="00F97309"/>
    <w:rsid w:val="00FA3333"/>
    <w:rsid w:val="00FA474D"/>
    <w:rsid w:val="00FA4CAB"/>
    <w:rsid w:val="00FA76C3"/>
    <w:rsid w:val="00FB042A"/>
    <w:rsid w:val="00FB1905"/>
    <w:rsid w:val="00FB3E46"/>
    <w:rsid w:val="00FB4466"/>
    <w:rsid w:val="00FB540D"/>
    <w:rsid w:val="00FB6470"/>
    <w:rsid w:val="00FB6A8B"/>
    <w:rsid w:val="00FB77EF"/>
    <w:rsid w:val="00FC1DA0"/>
    <w:rsid w:val="00FC7B67"/>
    <w:rsid w:val="00FD091D"/>
    <w:rsid w:val="00FD1928"/>
    <w:rsid w:val="00FD4192"/>
    <w:rsid w:val="00FD5442"/>
    <w:rsid w:val="00FD549E"/>
    <w:rsid w:val="00FD5D2F"/>
    <w:rsid w:val="00FD7B1C"/>
    <w:rsid w:val="00FE1512"/>
    <w:rsid w:val="00FE36B6"/>
    <w:rsid w:val="00FE393A"/>
    <w:rsid w:val="00FE4656"/>
    <w:rsid w:val="00FE749D"/>
    <w:rsid w:val="00FE7B16"/>
    <w:rsid w:val="00FF121C"/>
    <w:rsid w:val="00FF1406"/>
    <w:rsid w:val="00FF2F1A"/>
    <w:rsid w:val="00FF35C4"/>
    <w:rsid w:val="00FF59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qFormat/>
    <w:rsid w:val="00B5393B"/>
    <w:pPr>
      <w:widowControl w:val="0"/>
      <w:spacing w:after="0" w:line="240" w:lineRule="auto"/>
    </w:pPr>
    <w:rPr>
      <w:rFonts w:ascii="標楷體" w:eastAsia="標楷體" w:hAnsi="Times New Roman" w:cs="Times New Roman"/>
      <w:kern w:val="2"/>
      <w:sz w:val="24"/>
      <w:lang w:val="en-US" w:eastAsia="zh-TW"/>
    </w:rPr>
  </w:style>
  <w:style w:type="paragraph" w:styleId="1">
    <w:name w:val="heading 1"/>
    <w:basedOn w:val="a1"/>
    <w:next w:val="a2"/>
    <w:link w:val="10"/>
    <w:uiPriority w:val="9"/>
    <w:qFormat/>
    <w:rsid w:val="001C7FA0"/>
    <w:pPr>
      <w:keepNext/>
      <w:keepLines/>
      <w:spacing w:after="40"/>
      <w:outlineLvl w:val="0"/>
    </w:pPr>
    <w:rPr>
      <w:rFonts w:asciiTheme="majorHAnsi" w:eastAsiaTheme="majorEastAsia" w:hAnsiTheme="majorHAnsi" w:cstheme="majorBidi"/>
      <w:b/>
      <w:bCs/>
      <w:i/>
      <w:sz w:val="32"/>
      <w:szCs w:val="28"/>
    </w:rPr>
  </w:style>
  <w:style w:type="paragraph" w:styleId="21">
    <w:name w:val="heading 2"/>
    <w:basedOn w:val="a1"/>
    <w:next w:val="a2"/>
    <w:link w:val="22"/>
    <w:uiPriority w:val="9"/>
    <w:unhideWhenUsed/>
    <w:qFormat/>
    <w:rsid w:val="001C7FA0"/>
    <w:pPr>
      <w:keepNext/>
      <w:keepLines/>
      <w:spacing w:after="40"/>
      <w:outlineLvl w:val="1"/>
    </w:pPr>
    <w:rPr>
      <w:rFonts w:asciiTheme="majorHAnsi" w:eastAsiaTheme="majorEastAsia" w:hAnsiTheme="majorHAnsi" w:cstheme="majorBidi"/>
      <w:b/>
      <w:bCs/>
      <w:i/>
      <w:szCs w:val="26"/>
    </w:rPr>
  </w:style>
  <w:style w:type="paragraph" w:styleId="31">
    <w:name w:val="heading 3"/>
    <w:basedOn w:val="a1"/>
    <w:next w:val="a2"/>
    <w:link w:val="32"/>
    <w:uiPriority w:val="9"/>
    <w:unhideWhenUsed/>
    <w:qFormat/>
    <w:rsid w:val="001C7FA0"/>
    <w:pPr>
      <w:keepNext/>
      <w:keepLines/>
      <w:spacing w:after="40"/>
      <w:outlineLvl w:val="2"/>
    </w:pPr>
    <w:rPr>
      <w:rFonts w:asciiTheme="majorHAnsi" w:eastAsiaTheme="majorEastAsia" w:hAnsiTheme="majorHAnsi" w:cstheme="majorBidi"/>
      <w:bCs/>
      <w:i/>
    </w:rPr>
  </w:style>
  <w:style w:type="paragraph" w:styleId="41">
    <w:name w:val="heading 4"/>
    <w:basedOn w:val="a1"/>
    <w:next w:val="a2"/>
    <w:link w:val="42"/>
    <w:uiPriority w:val="9"/>
    <w:unhideWhenUsed/>
    <w:qFormat/>
    <w:rsid w:val="001C7FA0"/>
    <w:pPr>
      <w:keepNext/>
      <w:keepLines/>
      <w:spacing w:after="40"/>
      <w:outlineLvl w:val="3"/>
    </w:pPr>
    <w:rPr>
      <w:rFonts w:asciiTheme="majorHAnsi" w:eastAsiaTheme="majorEastAsia" w:hAnsiTheme="majorHAnsi" w:cstheme="majorBidi"/>
      <w:bCs/>
      <w:i/>
      <w:iCs/>
    </w:rPr>
  </w:style>
  <w:style w:type="paragraph" w:styleId="51">
    <w:name w:val="heading 5"/>
    <w:basedOn w:val="a1"/>
    <w:next w:val="a2"/>
    <w:link w:val="52"/>
    <w:uiPriority w:val="9"/>
    <w:unhideWhenUsed/>
    <w:qFormat/>
    <w:rsid w:val="001C7FA0"/>
    <w:pPr>
      <w:keepNext/>
      <w:keepLines/>
      <w:spacing w:after="4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1C7FA0"/>
    <w:pPr>
      <w:keepNext/>
      <w:keepLines/>
      <w:spacing w:after="40"/>
      <w:outlineLvl w:val="5"/>
    </w:pPr>
    <w:rPr>
      <w:rFonts w:asciiTheme="majorHAnsi" w:eastAsiaTheme="majorEastAsia" w:hAnsiTheme="majorHAnsi" w:cstheme="majorBidi"/>
      <w:iCs/>
    </w:rPr>
  </w:style>
  <w:style w:type="paragraph" w:styleId="7">
    <w:name w:val="heading 7"/>
    <w:basedOn w:val="a1"/>
    <w:next w:val="a1"/>
    <w:link w:val="70"/>
    <w:uiPriority w:val="9"/>
    <w:semiHidden/>
    <w:unhideWhenUsed/>
    <w:qFormat/>
    <w:rsid w:val="001C7FA0"/>
    <w:pPr>
      <w:keepNext/>
      <w:keepLines/>
      <w:spacing w:after="40"/>
      <w:outlineLvl w:val="6"/>
    </w:pPr>
    <w:rPr>
      <w:rFonts w:asciiTheme="majorHAnsi" w:eastAsiaTheme="majorEastAsia" w:hAnsiTheme="majorHAnsi" w:cstheme="majorBidi"/>
      <w:iCs/>
    </w:rPr>
  </w:style>
  <w:style w:type="paragraph" w:styleId="8">
    <w:name w:val="heading 8"/>
    <w:basedOn w:val="a1"/>
    <w:next w:val="a1"/>
    <w:link w:val="80"/>
    <w:uiPriority w:val="9"/>
    <w:semiHidden/>
    <w:unhideWhenUsed/>
    <w:qFormat/>
    <w:rsid w:val="001C7FA0"/>
    <w:pPr>
      <w:keepNext/>
      <w:keepLines/>
      <w:spacing w:after="40"/>
      <w:outlineLvl w:val="7"/>
    </w:pPr>
    <w:rPr>
      <w:rFonts w:asciiTheme="majorHAnsi" w:eastAsiaTheme="majorEastAsia" w:hAnsiTheme="majorHAnsi" w:cstheme="majorBidi"/>
    </w:rPr>
  </w:style>
  <w:style w:type="paragraph" w:styleId="9">
    <w:name w:val="heading 9"/>
    <w:basedOn w:val="a1"/>
    <w:next w:val="a1"/>
    <w:link w:val="90"/>
    <w:uiPriority w:val="9"/>
    <w:semiHidden/>
    <w:unhideWhenUsed/>
    <w:qFormat/>
    <w:rsid w:val="001C7FA0"/>
    <w:pPr>
      <w:keepNext/>
      <w:keepLines/>
      <w:spacing w:after="40"/>
      <w:outlineLvl w:val="8"/>
    </w:pPr>
    <w:rPr>
      <w:rFonts w:asciiTheme="majorHAnsi" w:eastAsiaTheme="majorEastAsia" w:hAnsiTheme="majorHAnsi" w:cstheme="majorBidi"/>
      <w:i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nhideWhenUsed/>
    <w:qFormat/>
    <w:rsid w:val="001C7FA0"/>
  </w:style>
  <w:style w:type="character" w:customStyle="1" w:styleId="a6">
    <w:name w:val="本文 字元"/>
    <w:basedOn w:val="a3"/>
    <w:link w:val="a2"/>
    <w:rsid w:val="001C7FA0"/>
  </w:style>
  <w:style w:type="paragraph" w:customStyle="1" w:styleId="BodySingle">
    <w:name w:val="Body Single"/>
    <w:basedOn w:val="a2"/>
    <w:link w:val="BodySingleChar"/>
    <w:uiPriority w:val="1"/>
    <w:qFormat/>
    <w:rsid w:val="001C7FA0"/>
  </w:style>
  <w:style w:type="paragraph" w:styleId="a7">
    <w:name w:val="header"/>
    <w:basedOn w:val="a1"/>
    <w:link w:val="a8"/>
    <w:uiPriority w:val="99"/>
    <w:unhideWhenUsed/>
    <w:rsid w:val="001C7FA0"/>
    <w:pPr>
      <w:tabs>
        <w:tab w:val="center" w:pos="4536"/>
        <w:tab w:val="right" w:pos="9866"/>
      </w:tabs>
    </w:pPr>
    <w:rPr>
      <w:rFonts w:asciiTheme="minorHAnsi" w:hAnsiTheme="minorHAnsi"/>
      <w:sz w:val="18"/>
    </w:rPr>
  </w:style>
  <w:style w:type="character" w:customStyle="1" w:styleId="BodySingleChar">
    <w:name w:val="Body Single Char"/>
    <w:basedOn w:val="a6"/>
    <w:link w:val="BodySingle"/>
    <w:uiPriority w:val="1"/>
    <w:rsid w:val="001C7FA0"/>
  </w:style>
  <w:style w:type="character" w:customStyle="1" w:styleId="a8">
    <w:name w:val="頁首 字元"/>
    <w:basedOn w:val="a3"/>
    <w:link w:val="a7"/>
    <w:uiPriority w:val="99"/>
    <w:rsid w:val="001C7FA0"/>
    <w:rPr>
      <w:rFonts w:asciiTheme="minorHAnsi" w:hAnsiTheme="minorHAnsi"/>
      <w:sz w:val="18"/>
    </w:rPr>
  </w:style>
  <w:style w:type="paragraph" w:styleId="a9">
    <w:name w:val="footer"/>
    <w:basedOn w:val="a1"/>
    <w:link w:val="aa"/>
    <w:uiPriority w:val="99"/>
    <w:unhideWhenUsed/>
    <w:rsid w:val="001C7FA0"/>
    <w:pPr>
      <w:tabs>
        <w:tab w:val="center" w:pos="4536"/>
        <w:tab w:val="right" w:pos="9866"/>
      </w:tabs>
    </w:pPr>
    <w:rPr>
      <w:rFonts w:asciiTheme="minorHAnsi" w:hAnsiTheme="minorHAnsi"/>
      <w:sz w:val="18"/>
    </w:rPr>
  </w:style>
  <w:style w:type="character" w:customStyle="1" w:styleId="aa">
    <w:name w:val="頁尾 字元"/>
    <w:basedOn w:val="a3"/>
    <w:link w:val="a9"/>
    <w:uiPriority w:val="99"/>
    <w:rsid w:val="001C7FA0"/>
    <w:rPr>
      <w:rFonts w:asciiTheme="minorHAnsi" w:hAnsiTheme="minorHAnsi"/>
      <w:sz w:val="18"/>
    </w:rPr>
  </w:style>
  <w:style w:type="character" w:customStyle="1" w:styleId="10">
    <w:name w:val="標題 1 字元"/>
    <w:basedOn w:val="a3"/>
    <w:link w:val="1"/>
    <w:uiPriority w:val="9"/>
    <w:rsid w:val="001C7FA0"/>
    <w:rPr>
      <w:rFonts w:asciiTheme="majorHAnsi" w:eastAsiaTheme="majorEastAsia" w:hAnsiTheme="majorHAnsi" w:cstheme="majorBidi"/>
      <w:b/>
      <w:bCs/>
      <w:i/>
      <w:sz w:val="32"/>
      <w:szCs w:val="28"/>
    </w:rPr>
  </w:style>
  <w:style w:type="character" w:customStyle="1" w:styleId="22">
    <w:name w:val="標題 2 字元"/>
    <w:basedOn w:val="a3"/>
    <w:link w:val="21"/>
    <w:uiPriority w:val="9"/>
    <w:rsid w:val="001C7FA0"/>
    <w:rPr>
      <w:rFonts w:asciiTheme="majorHAnsi" w:eastAsiaTheme="majorEastAsia" w:hAnsiTheme="majorHAnsi" w:cstheme="majorBidi"/>
      <w:b/>
      <w:bCs/>
      <w:i/>
      <w:sz w:val="24"/>
      <w:szCs w:val="26"/>
    </w:rPr>
  </w:style>
  <w:style w:type="character" w:customStyle="1" w:styleId="32">
    <w:name w:val="標題 3 字元"/>
    <w:basedOn w:val="a3"/>
    <w:link w:val="31"/>
    <w:uiPriority w:val="9"/>
    <w:rsid w:val="001C7FA0"/>
    <w:rPr>
      <w:rFonts w:asciiTheme="majorHAnsi" w:eastAsiaTheme="majorEastAsia" w:hAnsiTheme="majorHAnsi" w:cstheme="majorBidi"/>
      <w:bCs/>
      <w:i/>
      <w:sz w:val="24"/>
    </w:rPr>
  </w:style>
  <w:style w:type="character" w:customStyle="1" w:styleId="42">
    <w:name w:val="標題 4 字元"/>
    <w:basedOn w:val="a3"/>
    <w:link w:val="41"/>
    <w:uiPriority w:val="9"/>
    <w:rsid w:val="001C7FA0"/>
    <w:rPr>
      <w:rFonts w:asciiTheme="majorHAnsi" w:eastAsiaTheme="majorEastAsia" w:hAnsiTheme="majorHAnsi" w:cstheme="majorBidi"/>
      <w:bCs/>
      <w:i/>
      <w:iCs/>
    </w:rPr>
  </w:style>
  <w:style w:type="character" w:customStyle="1" w:styleId="52">
    <w:name w:val="標題 5 字元"/>
    <w:basedOn w:val="a3"/>
    <w:link w:val="51"/>
    <w:uiPriority w:val="9"/>
    <w:rsid w:val="001C7FA0"/>
    <w:rPr>
      <w:rFonts w:asciiTheme="majorHAnsi" w:eastAsiaTheme="majorEastAsia" w:hAnsiTheme="majorHAnsi" w:cstheme="majorBidi"/>
    </w:rPr>
  </w:style>
  <w:style w:type="paragraph" w:styleId="ab">
    <w:name w:val="Title"/>
    <w:basedOn w:val="a1"/>
    <w:next w:val="ac"/>
    <w:link w:val="ad"/>
    <w:uiPriority w:val="10"/>
    <w:qFormat/>
    <w:rsid w:val="001C7FA0"/>
    <w:rPr>
      <w:rFonts w:asciiTheme="majorHAnsi" w:eastAsiaTheme="majorEastAsia" w:hAnsiTheme="majorHAnsi" w:cstheme="majorBidi"/>
      <w:b/>
      <w:i/>
      <w:spacing w:val="5"/>
      <w:kern w:val="28"/>
      <w:sz w:val="56"/>
      <w:szCs w:val="52"/>
    </w:rPr>
  </w:style>
  <w:style w:type="character" w:customStyle="1" w:styleId="ad">
    <w:name w:val="標題 字元"/>
    <w:basedOn w:val="a3"/>
    <w:link w:val="ab"/>
    <w:uiPriority w:val="10"/>
    <w:rsid w:val="001C7FA0"/>
    <w:rPr>
      <w:rFonts w:asciiTheme="majorHAnsi" w:eastAsiaTheme="majorEastAsia" w:hAnsiTheme="majorHAnsi" w:cstheme="majorBidi"/>
      <w:b/>
      <w:i/>
      <w:spacing w:val="5"/>
      <w:kern w:val="28"/>
      <w:sz w:val="56"/>
      <w:szCs w:val="52"/>
    </w:rPr>
  </w:style>
  <w:style w:type="paragraph" w:styleId="ae">
    <w:name w:val="TOC Heading"/>
    <w:basedOn w:val="1"/>
    <w:next w:val="a2"/>
    <w:uiPriority w:val="39"/>
    <w:unhideWhenUsed/>
    <w:qFormat/>
    <w:rsid w:val="001C7FA0"/>
    <w:pPr>
      <w:spacing w:before="480"/>
      <w:outlineLvl w:val="9"/>
    </w:pPr>
  </w:style>
  <w:style w:type="paragraph" w:styleId="ac">
    <w:name w:val="Subtitle"/>
    <w:basedOn w:val="a1"/>
    <w:next w:val="a2"/>
    <w:link w:val="af"/>
    <w:uiPriority w:val="11"/>
    <w:qFormat/>
    <w:rsid w:val="001C7FA0"/>
    <w:pPr>
      <w:numPr>
        <w:ilvl w:val="1"/>
      </w:numPr>
      <w:spacing w:after="1200"/>
    </w:pPr>
    <w:rPr>
      <w:rFonts w:asciiTheme="majorHAnsi" w:eastAsiaTheme="majorEastAsia" w:hAnsiTheme="majorHAnsi" w:cstheme="majorBidi"/>
      <w:iCs/>
      <w:spacing w:val="15"/>
      <w:sz w:val="40"/>
      <w:szCs w:val="24"/>
    </w:rPr>
  </w:style>
  <w:style w:type="character" w:customStyle="1" w:styleId="af">
    <w:name w:val="副標題 字元"/>
    <w:basedOn w:val="a3"/>
    <w:link w:val="ac"/>
    <w:uiPriority w:val="11"/>
    <w:rsid w:val="001C7FA0"/>
    <w:rPr>
      <w:rFonts w:asciiTheme="majorHAnsi" w:eastAsiaTheme="majorEastAsia" w:hAnsiTheme="majorHAnsi" w:cstheme="majorBidi"/>
      <w:iCs/>
      <w:spacing w:val="15"/>
      <w:sz w:val="40"/>
      <w:szCs w:val="24"/>
    </w:rPr>
  </w:style>
  <w:style w:type="paragraph" w:styleId="11">
    <w:name w:val="toc 1"/>
    <w:basedOn w:val="a1"/>
    <w:next w:val="a1"/>
    <w:autoRedefine/>
    <w:uiPriority w:val="39"/>
    <w:unhideWhenUsed/>
    <w:rsid w:val="001C7FA0"/>
    <w:pPr>
      <w:spacing w:after="100"/>
    </w:pPr>
  </w:style>
  <w:style w:type="paragraph" w:styleId="23">
    <w:name w:val="toc 2"/>
    <w:basedOn w:val="a1"/>
    <w:next w:val="a1"/>
    <w:autoRedefine/>
    <w:uiPriority w:val="39"/>
    <w:unhideWhenUsed/>
    <w:rsid w:val="001C7FA0"/>
    <w:pPr>
      <w:spacing w:after="100"/>
      <w:ind w:left="200"/>
    </w:pPr>
  </w:style>
  <w:style w:type="paragraph" w:styleId="33">
    <w:name w:val="toc 3"/>
    <w:basedOn w:val="a1"/>
    <w:next w:val="a1"/>
    <w:autoRedefine/>
    <w:uiPriority w:val="39"/>
    <w:unhideWhenUsed/>
    <w:rsid w:val="001C7FA0"/>
    <w:pPr>
      <w:spacing w:after="100"/>
      <w:ind w:left="400"/>
    </w:pPr>
  </w:style>
  <w:style w:type="character" w:styleId="af0">
    <w:name w:val="Hyperlink"/>
    <w:basedOn w:val="a3"/>
    <w:uiPriority w:val="99"/>
    <w:unhideWhenUsed/>
    <w:rsid w:val="001C7FA0"/>
    <w:rPr>
      <w:color w:val="0000FF" w:themeColor="hyperlink"/>
      <w:u w:val="single"/>
    </w:rPr>
  </w:style>
  <w:style w:type="paragraph" w:styleId="af1">
    <w:name w:val="Balloon Text"/>
    <w:basedOn w:val="a1"/>
    <w:link w:val="af2"/>
    <w:uiPriority w:val="99"/>
    <w:semiHidden/>
    <w:unhideWhenUsed/>
    <w:rsid w:val="001C7FA0"/>
    <w:rPr>
      <w:rFonts w:ascii="Tahoma" w:hAnsi="Tahoma" w:cs="Tahoma"/>
      <w:sz w:val="16"/>
      <w:szCs w:val="16"/>
    </w:rPr>
  </w:style>
  <w:style w:type="character" w:customStyle="1" w:styleId="af2">
    <w:name w:val="註解方塊文字 字元"/>
    <w:basedOn w:val="a3"/>
    <w:link w:val="af1"/>
    <w:uiPriority w:val="99"/>
    <w:semiHidden/>
    <w:rsid w:val="001C7FA0"/>
    <w:rPr>
      <w:rFonts w:ascii="Tahoma" w:hAnsi="Tahoma" w:cs="Tahoma"/>
      <w:sz w:val="16"/>
      <w:szCs w:val="16"/>
    </w:rPr>
  </w:style>
  <w:style w:type="paragraph" w:styleId="a0">
    <w:name w:val="List Bullet"/>
    <w:basedOn w:val="a1"/>
    <w:uiPriority w:val="13"/>
    <w:unhideWhenUsed/>
    <w:qFormat/>
    <w:rsid w:val="001C7FA0"/>
    <w:pPr>
      <w:numPr>
        <w:numId w:val="11"/>
      </w:numPr>
      <w:contextualSpacing/>
    </w:pPr>
  </w:style>
  <w:style w:type="numbering" w:customStyle="1" w:styleId="PwCListBullets1">
    <w:name w:val="PwC List Bullets 1"/>
    <w:uiPriority w:val="99"/>
    <w:rsid w:val="001C7FA0"/>
    <w:pPr>
      <w:numPr>
        <w:numId w:val="11"/>
      </w:numPr>
    </w:pPr>
  </w:style>
  <w:style w:type="numbering" w:customStyle="1" w:styleId="PwCListNumbers1">
    <w:name w:val="PwC List Numbers 1"/>
    <w:uiPriority w:val="99"/>
    <w:rsid w:val="001C7FA0"/>
    <w:pPr>
      <w:numPr>
        <w:numId w:val="12"/>
      </w:numPr>
    </w:pPr>
  </w:style>
  <w:style w:type="paragraph" w:styleId="a">
    <w:name w:val="List Number"/>
    <w:basedOn w:val="a1"/>
    <w:uiPriority w:val="13"/>
    <w:unhideWhenUsed/>
    <w:qFormat/>
    <w:rsid w:val="001C7FA0"/>
    <w:pPr>
      <w:numPr>
        <w:numId w:val="16"/>
      </w:numPr>
      <w:contextualSpacing/>
    </w:pPr>
  </w:style>
  <w:style w:type="paragraph" w:styleId="20">
    <w:name w:val="List Bullet 2"/>
    <w:basedOn w:val="a1"/>
    <w:uiPriority w:val="13"/>
    <w:unhideWhenUsed/>
    <w:qFormat/>
    <w:rsid w:val="001C7FA0"/>
    <w:pPr>
      <w:numPr>
        <w:ilvl w:val="1"/>
        <w:numId w:val="11"/>
      </w:numPr>
      <w:contextualSpacing/>
    </w:pPr>
  </w:style>
  <w:style w:type="paragraph" w:styleId="30">
    <w:name w:val="List Bullet 3"/>
    <w:basedOn w:val="a1"/>
    <w:uiPriority w:val="13"/>
    <w:unhideWhenUsed/>
    <w:qFormat/>
    <w:rsid w:val="001C7FA0"/>
    <w:pPr>
      <w:numPr>
        <w:ilvl w:val="2"/>
        <w:numId w:val="11"/>
      </w:numPr>
      <w:contextualSpacing/>
    </w:pPr>
  </w:style>
  <w:style w:type="paragraph" w:styleId="40">
    <w:name w:val="List Bullet 4"/>
    <w:basedOn w:val="a1"/>
    <w:uiPriority w:val="13"/>
    <w:semiHidden/>
    <w:unhideWhenUsed/>
    <w:rsid w:val="001C7FA0"/>
    <w:pPr>
      <w:numPr>
        <w:ilvl w:val="3"/>
        <w:numId w:val="11"/>
      </w:numPr>
      <w:contextualSpacing/>
    </w:pPr>
  </w:style>
  <w:style w:type="paragraph" w:styleId="50">
    <w:name w:val="List Bullet 5"/>
    <w:basedOn w:val="a1"/>
    <w:uiPriority w:val="13"/>
    <w:semiHidden/>
    <w:unhideWhenUsed/>
    <w:rsid w:val="001C7FA0"/>
    <w:pPr>
      <w:numPr>
        <w:ilvl w:val="4"/>
        <w:numId w:val="11"/>
      </w:numPr>
      <w:contextualSpacing/>
    </w:pPr>
  </w:style>
  <w:style w:type="paragraph" w:styleId="2">
    <w:name w:val="List Number 2"/>
    <w:basedOn w:val="a1"/>
    <w:uiPriority w:val="13"/>
    <w:unhideWhenUsed/>
    <w:qFormat/>
    <w:rsid w:val="001C7FA0"/>
    <w:pPr>
      <w:numPr>
        <w:ilvl w:val="1"/>
        <w:numId w:val="16"/>
      </w:numPr>
      <w:contextualSpacing/>
    </w:pPr>
  </w:style>
  <w:style w:type="paragraph" w:styleId="3">
    <w:name w:val="List Number 3"/>
    <w:basedOn w:val="a1"/>
    <w:uiPriority w:val="13"/>
    <w:unhideWhenUsed/>
    <w:qFormat/>
    <w:rsid w:val="001C7FA0"/>
    <w:pPr>
      <w:numPr>
        <w:ilvl w:val="2"/>
        <w:numId w:val="16"/>
      </w:numPr>
      <w:contextualSpacing/>
    </w:pPr>
  </w:style>
  <w:style w:type="paragraph" w:styleId="4">
    <w:name w:val="List Number 4"/>
    <w:basedOn w:val="a1"/>
    <w:uiPriority w:val="13"/>
    <w:semiHidden/>
    <w:unhideWhenUsed/>
    <w:rsid w:val="001C7FA0"/>
    <w:pPr>
      <w:numPr>
        <w:ilvl w:val="3"/>
        <w:numId w:val="16"/>
      </w:numPr>
      <w:contextualSpacing/>
    </w:pPr>
  </w:style>
  <w:style w:type="paragraph" w:styleId="5">
    <w:name w:val="List Number 5"/>
    <w:basedOn w:val="a1"/>
    <w:uiPriority w:val="13"/>
    <w:semiHidden/>
    <w:unhideWhenUsed/>
    <w:rsid w:val="001C7FA0"/>
    <w:pPr>
      <w:numPr>
        <w:ilvl w:val="4"/>
        <w:numId w:val="16"/>
      </w:numPr>
      <w:contextualSpacing/>
    </w:pPr>
  </w:style>
  <w:style w:type="paragraph" w:styleId="af3">
    <w:name w:val="List"/>
    <w:basedOn w:val="a1"/>
    <w:uiPriority w:val="99"/>
    <w:semiHidden/>
    <w:unhideWhenUsed/>
    <w:rsid w:val="001C7FA0"/>
    <w:pPr>
      <w:ind w:left="567" w:hanging="567"/>
      <w:contextualSpacing/>
    </w:pPr>
  </w:style>
  <w:style w:type="paragraph" w:styleId="24">
    <w:name w:val="List 2"/>
    <w:basedOn w:val="a1"/>
    <w:uiPriority w:val="99"/>
    <w:semiHidden/>
    <w:unhideWhenUsed/>
    <w:rsid w:val="001C7FA0"/>
    <w:pPr>
      <w:ind w:left="1134" w:hanging="567"/>
      <w:contextualSpacing/>
    </w:pPr>
  </w:style>
  <w:style w:type="paragraph" w:styleId="af4">
    <w:name w:val="List Continue"/>
    <w:basedOn w:val="a1"/>
    <w:uiPriority w:val="14"/>
    <w:unhideWhenUsed/>
    <w:qFormat/>
    <w:rsid w:val="001C7FA0"/>
    <w:pPr>
      <w:spacing w:after="120"/>
      <w:ind w:left="567"/>
      <w:contextualSpacing/>
    </w:pPr>
  </w:style>
  <w:style w:type="paragraph" w:styleId="25">
    <w:name w:val="List Continue 2"/>
    <w:basedOn w:val="a1"/>
    <w:uiPriority w:val="14"/>
    <w:unhideWhenUsed/>
    <w:qFormat/>
    <w:rsid w:val="001C7FA0"/>
    <w:pPr>
      <w:spacing w:after="120"/>
      <w:ind w:left="1134"/>
      <w:contextualSpacing/>
    </w:pPr>
  </w:style>
  <w:style w:type="paragraph" w:styleId="34">
    <w:name w:val="List Continue 3"/>
    <w:basedOn w:val="a1"/>
    <w:uiPriority w:val="14"/>
    <w:unhideWhenUsed/>
    <w:qFormat/>
    <w:rsid w:val="001C7FA0"/>
    <w:pPr>
      <w:spacing w:after="120"/>
      <w:ind w:left="1701"/>
      <w:contextualSpacing/>
    </w:pPr>
  </w:style>
  <w:style w:type="paragraph" w:styleId="43">
    <w:name w:val="List Continue 4"/>
    <w:basedOn w:val="a1"/>
    <w:uiPriority w:val="14"/>
    <w:semiHidden/>
    <w:unhideWhenUsed/>
    <w:rsid w:val="001C7FA0"/>
    <w:pPr>
      <w:spacing w:after="120"/>
      <w:ind w:left="2268"/>
      <w:contextualSpacing/>
    </w:pPr>
  </w:style>
  <w:style w:type="paragraph" w:styleId="53">
    <w:name w:val="List Continue 5"/>
    <w:basedOn w:val="a1"/>
    <w:uiPriority w:val="14"/>
    <w:semiHidden/>
    <w:unhideWhenUsed/>
    <w:rsid w:val="001C7FA0"/>
    <w:pPr>
      <w:spacing w:after="120"/>
      <w:ind w:left="2835"/>
      <w:contextualSpacing/>
    </w:pPr>
  </w:style>
  <w:style w:type="paragraph" w:styleId="35">
    <w:name w:val="List 3"/>
    <w:basedOn w:val="a1"/>
    <w:uiPriority w:val="99"/>
    <w:semiHidden/>
    <w:unhideWhenUsed/>
    <w:rsid w:val="001C7FA0"/>
    <w:pPr>
      <w:ind w:left="1701" w:hanging="567"/>
      <w:contextualSpacing/>
    </w:pPr>
  </w:style>
  <w:style w:type="paragraph" w:styleId="44">
    <w:name w:val="List 4"/>
    <w:basedOn w:val="a1"/>
    <w:uiPriority w:val="99"/>
    <w:semiHidden/>
    <w:unhideWhenUsed/>
    <w:rsid w:val="001C7FA0"/>
    <w:pPr>
      <w:ind w:left="2268" w:hanging="567"/>
      <w:contextualSpacing/>
    </w:pPr>
  </w:style>
  <w:style w:type="paragraph" w:styleId="54">
    <w:name w:val="List 5"/>
    <w:basedOn w:val="a1"/>
    <w:uiPriority w:val="99"/>
    <w:semiHidden/>
    <w:unhideWhenUsed/>
    <w:rsid w:val="001C7FA0"/>
    <w:pPr>
      <w:ind w:left="2835" w:hanging="567"/>
      <w:contextualSpacing/>
    </w:pPr>
  </w:style>
  <w:style w:type="table" w:styleId="af5">
    <w:name w:val="Table Grid"/>
    <w:basedOn w:val="a4"/>
    <w:uiPriority w:val="59"/>
    <w:rsid w:val="001C7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a4"/>
    <w:uiPriority w:val="99"/>
    <w:qFormat/>
    <w:rsid w:val="001C7FA0"/>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60">
    <w:name w:val="標題 6 字元"/>
    <w:basedOn w:val="a3"/>
    <w:link w:val="6"/>
    <w:uiPriority w:val="9"/>
    <w:semiHidden/>
    <w:rsid w:val="001C7FA0"/>
    <w:rPr>
      <w:rFonts w:asciiTheme="majorHAnsi" w:eastAsiaTheme="majorEastAsia" w:hAnsiTheme="majorHAnsi" w:cstheme="majorBidi"/>
      <w:iCs/>
    </w:rPr>
  </w:style>
  <w:style w:type="character" w:customStyle="1" w:styleId="70">
    <w:name w:val="標題 7 字元"/>
    <w:basedOn w:val="a3"/>
    <w:link w:val="7"/>
    <w:uiPriority w:val="9"/>
    <w:semiHidden/>
    <w:rsid w:val="001C7FA0"/>
    <w:rPr>
      <w:rFonts w:asciiTheme="majorHAnsi" w:eastAsiaTheme="majorEastAsia" w:hAnsiTheme="majorHAnsi" w:cstheme="majorBidi"/>
      <w:iCs/>
    </w:rPr>
  </w:style>
  <w:style w:type="character" w:customStyle="1" w:styleId="80">
    <w:name w:val="標題 8 字元"/>
    <w:basedOn w:val="a3"/>
    <w:link w:val="8"/>
    <w:uiPriority w:val="9"/>
    <w:semiHidden/>
    <w:rsid w:val="001C7FA0"/>
    <w:rPr>
      <w:rFonts w:asciiTheme="majorHAnsi" w:eastAsiaTheme="majorEastAsia" w:hAnsiTheme="majorHAnsi" w:cstheme="majorBidi"/>
    </w:rPr>
  </w:style>
  <w:style w:type="character" w:customStyle="1" w:styleId="90">
    <w:name w:val="標題 9 字元"/>
    <w:basedOn w:val="a3"/>
    <w:link w:val="9"/>
    <w:uiPriority w:val="9"/>
    <w:semiHidden/>
    <w:rsid w:val="001C7FA0"/>
    <w:rPr>
      <w:rFonts w:asciiTheme="majorHAnsi" w:eastAsiaTheme="majorEastAsia" w:hAnsiTheme="majorHAnsi" w:cstheme="majorBidi"/>
      <w:iCs/>
    </w:rPr>
  </w:style>
  <w:style w:type="table" w:styleId="2-3">
    <w:name w:val="Medium Shading 2 Accent 3"/>
    <w:basedOn w:val="a4"/>
    <w:uiPriority w:val="64"/>
    <w:rsid w:val="001C7F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4"/>
    <w:uiPriority w:val="61"/>
    <w:rsid w:val="001C7FA0"/>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af6">
    <w:name w:val="footnote text"/>
    <w:basedOn w:val="a1"/>
    <w:link w:val="af7"/>
    <w:semiHidden/>
    <w:rsid w:val="00B5393B"/>
    <w:pPr>
      <w:snapToGrid w:val="0"/>
    </w:pPr>
    <w:rPr>
      <w:rFonts w:ascii="Times New Roman" w:eastAsia="新細明體"/>
      <w:sz w:val="20"/>
    </w:rPr>
  </w:style>
  <w:style w:type="character" w:customStyle="1" w:styleId="af7">
    <w:name w:val="註腳文字 字元"/>
    <w:basedOn w:val="a3"/>
    <w:link w:val="af6"/>
    <w:semiHidden/>
    <w:rsid w:val="00B5393B"/>
    <w:rPr>
      <w:rFonts w:ascii="Times New Roman" w:eastAsia="新細明體" w:hAnsi="Times New Roman" w:cs="Times New Roman"/>
      <w:kern w:val="2"/>
      <w:lang w:val="en-US" w:eastAsia="zh-TW"/>
    </w:rPr>
  </w:style>
  <w:style w:type="character" w:styleId="af8">
    <w:name w:val="footnote reference"/>
    <w:semiHidden/>
    <w:rsid w:val="00B5393B"/>
    <w:rPr>
      <w:rFonts w:eastAsia="標楷體"/>
      <w:sz w:val="20"/>
      <w:vertAlign w:val="superscript"/>
    </w:rPr>
  </w:style>
  <w:style w:type="paragraph" w:styleId="af9">
    <w:name w:val="Body Text Indent"/>
    <w:basedOn w:val="a1"/>
    <w:link w:val="afa"/>
    <w:uiPriority w:val="99"/>
    <w:unhideWhenUsed/>
    <w:rsid w:val="00B5393B"/>
    <w:pPr>
      <w:spacing w:after="120"/>
      <w:ind w:leftChars="200" w:left="480"/>
    </w:pPr>
  </w:style>
  <w:style w:type="character" w:customStyle="1" w:styleId="afa">
    <w:name w:val="本文縮排 字元"/>
    <w:basedOn w:val="a3"/>
    <w:link w:val="af9"/>
    <w:uiPriority w:val="99"/>
    <w:rsid w:val="00B5393B"/>
    <w:rPr>
      <w:rFonts w:ascii="標楷體" w:eastAsia="標楷體" w:hAnsi="Times New Roman" w:cs="Times New Roman"/>
      <w:kern w:val="2"/>
      <w:sz w:val="24"/>
      <w:lang w:val="en-US" w:eastAsia="zh-TW"/>
    </w:rPr>
  </w:style>
  <w:style w:type="paragraph" w:styleId="afb">
    <w:name w:val="List Paragraph"/>
    <w:basedOn w:val="a1"/>
    <w:uiPriority w:val="34"/>
    <w:unhideWhenUsed/>
    <w:qFormat/>
    <w:rsid w:val="00A37C7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46BA-5B78-4FC4-83F2-BAE22309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958</Words>
  <Characters>5466</Characters>
  <Application>Microsoft Office Word</Application>
  <DocSecurity>0</DocSecurity>
  <Lines>45</Lines>
  <Paragraphs>12</Paragraphs>
  <ScaleCrop>false</ScaleCrop>
  <Company>PricewaterhouseCoopers</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cp:lastModifiedBy>
  <cp:revision>16</cp:revision>
  <dcterms:created xsi:type="dcterms:W3CDTF">2014-07-04T05:41:00Z</dcterms:created>
  <dcterms:modified xsi:type="dcterms:W3CDTF">2014-07-17T03:38:00Z</dcterms:modified>
</cp:coreProperties>
</file>